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rPr>
      </w:pPr>
      <w:r>
        <w:rPr>
          <w:rFonts w:hint="default" w:ascii="Times New Roman" w:hAnsi="Times New Roman" w:eastAsia="仿宋_GB2312" w:cs="Times New Roman"/>
          <w:color w:val="000000"/>
          <w:sz w:val="32"/>
        </w:rPr>
        <w:pict>
          <v:shape id="AutoShape 4" o:spid="_x0000_s1027" o:spt="136" type="#_x0000_t136" style="position:absolute;left:0pt;margin-left:52.65pt;margin-top:69.75pt;height:54.6pt;width:341.25pt;mso-wrap-distance-bottom:0pt;mso-wrap-distance-left:9pt;mso-wrap-distance-right:9pt;mso-wrap-distance-top:0pt;z-index:251663360;mso-width-relative:page;mso-height-relative:page;" fillcolor="#FF0000" filled="t" stroked="t" coordsize="21600,21600">
            <v:path/>
            <v:fill on="t" focussize="0,0"/>
            <v:stroke color="#FF0000"/>
            <v:imagedata o:title=""/>
            <o:lock v:ext="edit"/>
            <v:textpath on="t" fitshape="t" fitpath="t" trim="t" xscale="f" string="常务委员会文件" style="font-family:方正小标宋_GBK;font-size:36pt;v-text-align:center;"/>
            <w10:wrap type="square" side="left"/>
          </v:shape>
        </w:pict>
      </w:r>
    </w:p>
    <w:p>
      <w:pPr>
        <w:jc w:val="left"/>
        <w:rPr>
          <w:rFonts w:hint="default" w:ascii="Times New Roman" w:hAnsi="Times New Roman" w:eastAsia="黑体" w:cs="Times New Roman"/>
          <w:sz w:val="32"/>
        </w:rPr>
      </w:pPr>
      <w:r>
        <w:rPr>
          <w:rFonts w:hint="default" w:ascii="Times New Roman" w:hAnsi="Times New Roman" w:cs="Times New Roman"/>
          <w:b/>
          <w:color w:val="000000"/>
          <w:sz w:val="44"/>
          <w:szCs w:val="44"/>
        </w:rPr>
        <w:pict>
          <v:shape id="AutoShape 3" o:spid="_x0000_s1026" o:spt="136" type="#_x0000_t136" style="position:absolute;left:0pt;margin-left:5.4pt;margin-top:-13.5pt;height:31.2pt;width:430.5pt;mso-wrap-distance-bottom:0pt;mso-wrap-distance-left:9pt;mso-wrap-distance-right:9pt;mso-wrap-distance-top:0pt;z-index:251662336;mso-width-relative:page;mso-height-relative:page;" fillcolor="#FF0000" filled="t" stroked="t" coordsize="21600,21600">
            <v:path/>
            <v:fill on="t" focussize="0,0"/>
            <v:stroke color="#FF0000"/>
            <v:imagedata o:title=""/>
            <o:lock v:ext="edit"/>
            <v:textpath on="t" fitshape="t" fitpath="t" trim="t" xscale="f" string="黔西南布依族苗族自治州人民代表大会" style="font-family:方正小标宋_GBK;font-size:36pt;v-text-align:center;"/>
            <w10:wrap type="square" side="left"/>
          </v:shape>
        </w:pict>
      </w:r>
    </w:p>
    <w:p>
      <w:pPr>
        <w:jc w:val="left"/>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黑体" w:cs="Times New Roman"/>
          <w:sz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仿宋_GB2312" w:cs="Times New Roman"/>
          <w:b/>
          <w:sz w:val="32"/>
        </w:rPr>
      </w:pPr>
    </w:p>
    <w:p>
      <w:pPr>
        <w:spacing w:line="570" w:lineRule="exact"/>
        <w:rPr>
          <w:rFonts w:hint="default" w:ascii="Times New Roman" w:hAnsi="Times New Roman" w:eastAsia="楷体_GB2312" w:cs="Times New Roman"/>
          <w:sz w:val="32"/>
          <w:szCs w:val="32"/>
        </w:rPr>
      </w:pPr>
      <w:bookmarkStart w:id="0" w:name="fileDept"/>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rPr>
        <w:t>州人常</w:t>
      </w:r>
      <w:bookmarkEnd w:id="0"/>
      <w:r>
        <w:rPr>
          <w:rFonts w:hint="default" w:ascii="Times New Roman" w:hAnsi="Times New Roman" w:eastAsia="楷体_GB2312" w:cs="Times New Roman"/>
          <w:sz w:val="32"/>
          <w:szCs w:val="32"/>
        </w:rPr>
        <w:t>〔</w:t>
      </w:r>
      <w:bookmarkStart w:id="1" w:name="fileYear"/>
      <w:r>
        <w:rPr>
          <w:rFonts w:hint="default" w:ascii="Times New Roman" w:hAnsi="Times New Roman" w:eastAsia="楷体_GB2312" w:cs="Times New Roman"/>
          <w:sz w:val="32"/>
          <w:szCs w:val="32"/>
        </w:rPr>
        <w:t>201</w:t>
      </w:r>
      <w:bookmarkEnd w:id="1"/>
      <w:r>
        <w:rPr>
          <w:rFonts w:hint="default" w:ascii="Times New Roman" w:hAnsi="Times New Roman" w:eastAsia="楷体_GB2312" w:cs="Times New Roman"/>
          <w:sz w:val="32"/>
          <w:szCs w:val="32"/>
        </w:rPr>
        <w:t>9〕7号                         签发：邓家富</w:t>
      </w:r>
    </w:p>
    <w:p>
      <w:pPr>
        <w:spacing w:line="560" w:lineRule="exact"/>
        <w:rPr>
          <w:rFonts w:hint="default" w:ascii="Times New Roman" w:hAnsi="Times New Roman" w:eastAsia="仿宋_GB2312" w:cs="Times New Roman"/>
          <w:color w:val="FF0000"/>
          <w:sz w:val="52"/>
          <w:szCs w:val="5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71755</wp:posOffset>
                </wp:positionV>
                <wp:extent cx="5715000" cy="4445"/>
                <wp:effectExtent l="0" t="0" r="0" b="0"/>
                <wp:wrapNone/>
                <wp:docPr id="1" name="Line 2"/>
                <wp:cNvGraphicFramePr/>
                <a:graphic xmlns:a="http://schemas.openxmlformats.org/drawingml/2006/main">
                  <a:graphicData uri="http://schemas.microsoft.com/office/word/2010/wordprocessingShape">
                    <wps:wsp>
                      <wps:cNvCnPr/>
                      <wps:spPr bwMode="auto">
                        <a:xfrm>
                          <a:off x="0" y="0"/>
                          <a:ext cx="5715000" cy="4445"/>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1.5pt;margin-top:5.65pt;height:0.35pt;width:450pt;z-index:251660288;mso-width-relative:page;mso-height-relative:page;" filled="f" stroked="t" coordsize="21600,21600" o:gfxdata="UEsDBAoAAAAAAIdO4kAAAAAAAAAAAAAAAAAEAAAAZHJzL1BLAwQUAAAACACHTuJAuI+tk9QAAAAH&#10;AQAADwAAAGRycy9kb3ducmV2LnhtbE2PTU/DMAyG70j8h8hI3FjSTkKjNJ0GghsSonzsmjVeU61x&#10;qibrun+Pd4Kjn9d6/bhcz74XE46xC6QhWygQSE2wHbUavj5f71YgYjJkTR8INZwxwrq6vipNYcOJ&#10;PnCqUyu4hGJhNLiUhkLK2Dj0Ji7CgMTZPozeJB7HVtrRnLjc9zJX6l560xFfcGbAZ4fNoT56DfPP&#10;auO2b+npJXy/u8O8rf2Un7W+vcnUI4iEc/pbhos+q0PFTrtwJBtFr2HJnyTG2RIExw/qAnYMcgWy&#10;KuV//+oXUEsDBBQAAAAIAIdO4kByuIiPmwEAACMDAAAOAAAAZHJzL2Uyb0RvYy54bWytUstuGzEM&#10;vBfoPwi617s2vE2w8DqHBM4lbQO0+QBaD68ASRQk2Wv/fSnZcdPkVvRCSCQ1nBlqdXd0lh1UTAb9&#10;wOezljPlBUrjdwN/+bX5cstZyuAlWPRq4CeV+N3686fVFHq1wBGtVJERiE/9FAY+5hz6pkliVA7S&#10;DIPyVNQYHWS6xl0jI0yE7myzaNuvzYRRhohCpUTZh3ORryu+1krkH1onlZkdOHHLNcYatyU26xX0&#10;uwhhNOJCA/6BhQPjaegV6gEysH00H6CcERET6jwT6BrU2ghVNZCaeftOzc8RgqpayJwUrjal/wcr&#10;vh+eIzOSdseZB0crejJesUVxZgqpp4Z7/xwvtxSoezt9Q0mNsM9YRR91dEU8yWHH6u3p6q06ZiYo&#10;2d3Mu7alFQiqLZfLrgxooH99G2LKjwodK4eBWyJRseHwlPK59bWljPK4MdZSHnrr2TTwxW1309UX&#10;Ca2RpVqKKe629zayA9AH2GyIQd05Df6rLeLey/MU64lXUV60nj3YojxVC2qeNlGZX35NWfXbe339&#10;52+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4j62T1AAAAAcBAAAPAAAAAAAAAAEAIAAAACIA&#10;AABkcnMvZG93bnJldi54bWxQSwECFAAUAAAACACHTuJAcriIj5sBAAAjAwAADgAAAAAAAAABACAA&#10;AAAjAQAAZHJzL2Uyb0RvYy54bWxQSwUGAAAAAAYABgBZAQAAMAU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auto"/>
        <w:outlineLvl w:val="9"/>
        <w:rPr>
          <w:rFonts w:hint="default" w:ascii="Times New Roman" w:hAnsi="Times New Roman" w:eastAsia="方正小标宋_GBK" w:cs="Times New Roman"/>
          <w:spacing w:val="-6"/>
          <w:sz w:val="44"/>
          <w:szCs w:val="44"/>
        </w:rPr>
      </w:pPr>
    </w:p>
    <w:p>
      <w:pPr>
        <w:adjustRightInd w:val="0"/>
        <w:snapToGrid w:val="0"/>
        <w:spacing w:line="560" w:lineRule="exact"/>
        <w:jc w:val="center"/>
        <w:rPr>
          <w:rFonts w:hint="default" w:ascii="Times New Roman" w:hAnsi="Times New Roman" w:eastAsia="方正小标宋_GBK" w:cs="Times New Roman"/>
          <w:spacing w:val="-11"/>
          <w:w w:val="95"/>
          <w:sz w:val="44"/>
          <w:szCs w:val="44"/>
        </w:rPr>
      </w:pPr>
      <w:r>
        <w:rPr>
          <w:rFonts w:hint="default" w:ascii="Times New Roman" w:hAnsi="Times New Roman" w:eastAsia="方正小标宋_GBK" w:cs="Times New Roman"/>
          <w:spacing w:val="-11"/>
          <w:w w:val="95"/>
          <w:sz w:val="44"/>
          <w:szCs w:val="44"/>
        </w:rPr>
        <w:t>黔西南布依族苗族自治州人民代表大会常务委员会</w:t>
      </w:r>
    </w:p>
    <w:p>
      <w:pPr>
        <w:adjustRightInd w:val="0"/>
        <w:snapToGrid w:val="0"/>
        <w:spacing w:line="560" w:lineRule="exact"/>
        <w:jc w:val="center"/>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关于报请批准</w:t>
      </w:r>
      <w:r>
        <w:rPr>
          <w:rFonts w:hint="default" w:ascii="Times New Roman" w:hAnsi="Times New Roman" w:eastAsia="方正小标宋_GBK" w:cs="Times New Roman"/>
          <w:kern w:val="44"/>
          <w:sz w:val="44"/>
          <w:szCs w:val="44"/>
        </w:rPr>
        <w:t>《</w:t>
      </w:r>
      <w:r>
        <w:rPr>
          <w:rFonts w:hint="default" w:ascii="Times New Roman" w:hAnsi="Times New Roman" w:eastAsia="方正小标宋_GBK" w:cs="Times New Roman"/>
          <w:spacing w:val="-6"/>
          <w:sz w:val="44"/>
          <w:szCs w:val="44"/>
        </w:rPr>
        <w:t>黔西南布依族苗族自治州</w:t>
      </w:r>
    </w:p>
    <w:p>
      <w:pPr>
        <w:adjustRightInd w:val="0"/>
        <w:snapToGrid w:val="0"/>
        <w:spacing w:line="560" w:lineRule="exact"/>
        <w:jc w:val="center"/>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草地生态畜牧业发展条例》的报告</w:t>
      </w:r>
    </w:p>
    <w:p>
      <w:pPr>
        <w:adjustRightInd w:val="0"/>
        <w:snapToGrid w:val="0"/>
        <w:spacing w:line="560" w:lineRule="exact"/>
        <w:ind w:firstLine="856" w:firstLineChars="200"/>
        <w:rPr>
          <w:rFonts w:hint="default" w:ascii="Times New Roman" w:hAnsi="Times New Roman" w:eastAsia="方正小标宋_GBK" w:cs="Times New Roman"/>
          <w:spacing w:val="-6"/>
          <w:sz w:val="44"/>
          <w:szCs w:val="44"/>
        </w:rPr>
      </w:pPr>
      <w:bookmarkStart w:id="2" w:name="_GoBack"/>
      <w:bookmarkEnd w:id="2"/>
    </w:p>
    <w:p>
      <w:pPr>
        <w:adjustRightInd w:val="0"/>
        <w:snapToGrid w:val="0"/>
        <w:spacing w:line="560" w:lineRule="exact"/>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贵州省人大常委会：</w:t>
      </w:r>
    </w:p>
    <w:p>
      <w:pPr>
        <w:adjustRightInd w:val="0"/>
        <w:snapToGrid w:val="0"/>
        <w:spacing w:line="56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cs="Times New Roman"/>
        </w:rPr>
        <w:drawing>
          <wp:anchor distT="0" distB="0" distL="0" distR="0" simplePos="0" relativeHeight="251659264" behindDoc="1" locked="0" layoutInCell="1" allowOverlap="1">
            <wp:simplePos x="0" y="0"/>
            <wp:positionH relativeFrom="column">
              <wp:posOffset>2426335</wp:posOffset>
            </wp:positionH>
            <wp:positionV relativeFrom="paragraph">
              <wp:posOffset>1750695</wp:posOffset>
            </wp:positionV>
            <wp:extent cx="1637665" cy="1637665"/>
            <wp:effectExtent l="0" t="0" r="635" b="635"/>
            <wp:wrapNone/>
            <wp:docPr id="2" name="图片 2" descr="C:\Users\Administrator\AppData\Local\Temp\ksohtml\wpsF61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ksohtml\wpsF615.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37665" cy="1637665"/>
                    </a:xfrm>
                    <a:prstGeom prst="rect">
                      <a:avLst/>
                    </a:prstGeom>
                    <a:noFill/>
                    <a:ln>
                      <a:noFill/>
                    </a:ln>
                  </pic:spPr>
                </pic:pic>
              </a:graphicData>
            </a:graphic>
          </wp:anchor>
        </w:drawing>
      </w:r>
      <w:r>
        <w:rPr>
          <w:rFonts w:hint="default" w:ascii="Times New Roman" w:hAnsi="Times New Roman" w:eastAsia="仿宋_GB2312" w:cs="Times New Roman"/>
          <w:kern w:val="44"/>
          <w:sz w:val="32"/>
          <w:szCs w:val="32"/>
        </w:rPr>
        <w:t>《</w:t>
      </w:r>
      <w:r>
        <w:rPr>
          <w:rFonts w:hint="default" w:ascii="Times New Roman" w:hAnsi="Times New Roman" w:eastAsia="仿宋_GB2312" w:cs="Times New Roman"/>
          <w:spacing w:val="-11"/>
          <w:sz w:val="32"/>
          <w:szCs w:val="32"/>
        </w:rPr>
        <w:t>黔西南布依族苗族自治州草地生态畜牧业发展条例</w:t>
      </w:r>
      <w:r>
        <w:rPr>
          <w:rFonts w:hint="default" w:ascii="Times New Roman" w:hAnsi="Times New Roman" w:eastAsia="仿宋_GB2312" w:cs="Times New Roman"/>
          <w:kern w:val="44"/>
          <w:sz w:val="32"/>
          <w:szCs w:val="32"/>
        </w:rPr>
        <w:t>》</w:t>
      </w:r>
      <w:r>
        <w:rPr>
          <w:rFonts w:hint="default" w:ascii="Times New Roman" w:hAnsi="Times New Roman" w:eastAsia="仿宋_GB2312" w:cs="Times New Roman"/>
          <w:spacing w:val="-6"/>
          <w:sz w:val="32"/>
          <w:szCs w:val="32"/>
        </w:rPr>
        <w:t>已于20</w:t>
      </w:r>
      <w:r>
        <w:rPr>
          <w:rFonts w:hint="default" w:ascii="Times New Roman" w:hAnsi="Times New Roman" w:eastAsia="仿宋_GB2312" w:cs="Times New Roman"/>
          <w:kern w:val="44"/>
          <w:sz w:val="32"/>
          <w:szCs w:val="32"/>
        </w:rPr>
        <w:t>19年1月12日经黔西南布依族苗族自治州第八届人民代表大会第三次会议审议通过。根据《中华人民共和国宪法》第一百一十六条、《中华人民共和国民族区域自治法》第十九条和《中华人民共和国立法法》</w:t>
      </w:r>
      <w:r>
        <w:rPr>
          <w:rFonts w:hint="default" w:ascii="Times New Roman" w:hAnsi="Times New Roman" w:eastAsia="仿宋_GB2312" w:cs="Times New Roman"/>
          <w:spacing w:val="-6"/>
          <w:sz w:val="32"/>
          <w:szCs w:val="32"/>
        </w:rPr>
        <w:t>第七十五条的有关规定，现报请批准。</w:t>
      </w: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20" w:firstLineChars="200"/>
        <w:jc w:val="both"/>
        <w:textAlignment w:val="auto"/>
        <w:outlineLvl w:val="9"/>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616" w:firstLineChars="200"/>
        <w:jc w:val="both"/>
        <w:textAlignment w:val="auto"/>
        <w:outlineLvl w:val="9"/>
        <w:rPr>
          <w:rFonts w:hint="default" w:ascii="Times New Roman" w:hAnsi="Times New Roman" w:eastAsia="仿宋_GB2312" w:cs="Times New Roman"/>
          <w:spacing w:val="-6"/>
          <w:sz w:val="32"/>
          <w:szCs w:val="32"/>
        </w:rPr>
      </w:pPr>
    </w:p>
    <w:p>
      <w:pPr>
        <w:keepNext w:val="0"/>
        <w:keepLines w:val="0"/>
        <w:pageBreakBefore w:val="0"/>
        <w:widowControl w:val="0"/>
        <w:kinsoku/>
        <w:wordWrap/>
        <w:overflowPunct/>
        <w:topLinePunct w:val="0"/>
        <w:autoSpaceDE/>
        <w:autoSpaceDN/>
        <w:bidi w:val="0"/>
        <w:spacing w:line="380" w:lineRule="exact"/>
        <w:ind w:left="0" w:leftChars="0" w:right="0" w:rightChars="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 xml:space="preserve">     </w:t>
      </w:r>
    </w:p>
    <w:p>
      <w:pPr>
        <w:adjustRightInd w:val="0"/>
        <w:snapToGrid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黔西南布依族苗族自治州人民代表大会常务委员会</w:t>
      </w:r>
    </w:p>
    <w:p>
      <w:pPr>
        <w:adjustRightInd w:val="0"/>
        <w:snapToGrid w:val="0"/>
        <w:spacing w:line="580" w:lineRule="exact"/>
        <w:rPr>
          <w:rFonts w:hint="default" w:ascii="Times New Roman" w:hAnsi="Times New Roman" w:eastAsia="仿宋_GB2312" w:cs="Times New Roman"/>
          <w:kern w:val="44"/>
          <w:sz w:val="32"/>
          <w:szCs w:val="32"/>
        </w:rPr>
        <w:sectPr>
          <w:headerReference r:id="rId3" w:type="default"/>
          <w:footerReference r:id="rId4" w:type="default"/>
          <w:footerReference r:id="rId5" w:type="even"/>
          <w:pgSz w:w="11906" w:h="16838"/>
          <w:pgMar w:top="1814" w:right="1531" w:bottom="1304" w:left="1531" w:header="851" w:footer="1304" w:gutter="0"/>
          <w:cols w:space="0" w:num="1"/>
          <w:docGrid w:type="lines" w:linePitch="291" w:charSpace="0"/>
        </w:sectPr>
      </w:pPr>
      <w:r>
        <w:rPr>
          <w:rFonts w:hint="default" w:ascii="Times New Roman" w:hAnsi="Times New Roman" w:eastAsia="仿宋_GB2312" w:cs="Times New Roman"/>
          <w:spacing w:val="-6"/>
          <w:sz w:val="32"/>
          <w:szCs w:val="32"/>
        </w:rPr>
        <w:t xml:space="preserve">                           </w:t>
      </w:r>
      <w:r>
        <w:rPr>
          <w:rFonts w:hint="default" w:ascii="Times New Roman" w:hAnsi="Times New Roman" w:eastAsia="仿宋_GB2312" w:cs="Times New Roman"/>
          <w:kern w:val="44"/>
          <w:sz w:val="32"/>
          <w:szCs w:val="32"/>
        </w:rPr>
        <w:t>2019年2月2日</w:t>
      </w:r>
    </w:p>
    <w:p>
      <w:pPr>
        <w:spacing w:line="600" w:lineRule="exact"/>
        <w:rPr>
          <w:rFonts w:hint="default" w:ascii="Times New Roman" w:hAnsi="Times New Roman" w:cs="Times New Roman"/>
          <w:b/>
          <w:bCs/>
          <w:color w:val="000000"/>
          <w:sz w:val="44"/>
          <w:szCs w:val="44"/>
        </w:rPr>
      </w:pPr>
    </w:p>
    <w:p>
      <w:pPr>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黔西南布依族苗族自治州草地生态畜牧业</w:t>
      </w:r>
    </w:p>
    <w:p>
      <w:pPr>
        <w:spacing w:line="600" w:lineRule="exact"/>
        <w:jc w:val="center"/>
        <w:rPr>
          <w:rFonts w:hint="default" w:ascii="Times New Roman" w:hAnsi="Times New Roman" w:eastAsia="方正小标宋_GBK" w:cs="Times New Roman"/>
          <w:dstrike/>
          <w:color w:val="000000"/>
          <w:sz w:val="44"/>
          <w:szCs w:val="44"/>
        </w:rPr>
      </w:pPr>
      <w:r>
        <w:rPr>
          <w:rFonts w:hint="default" w:ascii="Times New Roman" w:hAnsi="Times New Roman" w:eastAsia="方正小标宋_GBK" w:cs="Times New Roman"/>
          <w:color w:val="000000"/>
          <w:sz w:val="44"/>
          <w:szCs w:val="44"/>
        </w:rPr>
        <w:t>发展条例</w:t>
      </w:r>
    </w:p>
    <w:p>
      <w:pPr>
        <w:spacing w:line="60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（2019年1月12日黔西南布依族苗族自治州第八届人民代表大会第三次会议通过）</w:t>
      </w:r>
    </w:p>
    <w:p>
      <w:pPr>
        <w:shd w:val="clear" w:color="auto" w:fill="FFFFFF"/>
        <w:tabs>
          <w:tab w:val="left" w:pos="3686"/>
          <w:tab w:val="left" w:pos="3828"/>
        </w:tabs>
        <w:spacing w:line="600" w:lineRule="exact"/>
        <w:ind w:firstLine="602" w:firstLineChars="200"/>
        <w:rPr>
          <w:rFonts w:hint="default" w:ascii="Times New Roman" w:hAnsi="Times New Roman" w:cs="Times New Roman"/>
          <w:b/>
          <w:bCs/>
          <w:color w:val="000000"/>
          <w:sz w:val="32"/>
          <w:szCs w:val="32"/>
        </w:rPr>
      </w:pPr>
    </w:p>
    <w:p>
      <w:pPr>
        <w:shd w:val="clear" w:color="auto" w:fill="FFFFFF"/>
        <w:tabs>
          <w:tab w:val="left" w:pos="3686"/>
          <w:tab w:val="left" w:pos="3828"/>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第一条</w:t>
      </w:r>
      <w:r>
        <w:rPr>
          <w:rFonts w:hint="default" w:ascii="Times New Roman" w:hAnsi="Times New Roman" w:eastAsia="仿宋_GB2312" w:cs="Times New Roman"/>
          <w:color w:val="000000"/>
          <w:sz w:val="32"/>
          <w:szCs w:val="32"/>
        </w:rPr>
        <w:t xml:space="preserve">  为了有效保护和科学利用草地资源，保障畜禽产品质量安全，加快草地生态畜牧业发展，推进生态文明建设，根据《中华人民共和国草原法》《中华人民共和国畜牧法》《中华人民共和国动物防疫法》和有关法律法规的规定，结合自治州实际，制定本条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仿宋_GB2312" w:cs="Times New Roman"/>
          <w:color w:val="000000"/>
          <w:sz w:val="32"/>
          <w:szCs w:val="32"/>
        </w:rPr>
        <w:t xml:space="preserve">  自治州行政区域内的草地资源保护、开发和利用，草地生态畜牧业生产以及草食畜禽产品加工、经营、运输等活动，适用本条例。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仿宋_GB2312" w:cs="Times New Roman"/>
          <w:color w:val="000000"/>
          <w:sz w:val="32"/>
          <w:szCs w:val="32"/>
        </w:rPr>
        <w:t xml:space="preserve">  本条例所称的草地生态畜牧业，是指以草地资源为载体，以草食畜禽健康养殖为核心，连接生态种植农业和生态草食畜禽产品加工业，将草地生态保护与开发利用有机结合，形成资源节约、环境友好、生态安全的产业体系。</w:t>
      </w:r>
    </w:p>
    <w:p>
      <w:pPr>
        <w:pStyle w:val="23"/>
        <w:shd w:val="clear" w:color="auto" w:fill="FFFFFF"/>
        <w:spacing w:beforeAutospacing="0" w:afterAutospacing="0"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kern w:val="2"/>
          <w:sz w:val="32"/>
          <w:szCs w:val="32"/>
        </w:rPr>
        <w:t>第四条</w:t>
      </w:r>
      <w:r>
        <w:rPr>
          <w:rFonts w:hint="default" w:ascii="Times New Roman" w:hAnsi="Times New Roman" w:eastAsia="仿宋_GB2312" w:cs="Times New Roman"/>
          <w:color w:val="000000"/>
          <w:sz w:val="32"/>
          <w:szCs w:val="32"/>
        </w:rPr>
        <w:t xml:space="preserve">  草地生态畜牧业发展坚持科学规划、依法监管、生态环保、助民致富原则。</w:t>
      </w:r>
    </w:p>
    <w:p>
      <w:pPr>
        <w:widowControl/>
        <w:shd w:val="clear" w:color="auto" w:fill="FFFFFF"/>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仿宋_GB2312" w:cs="Times New Roman"/>
          <w:color w:val="000000"/>
          <w:sz w:val="32"/>
          <w:szCs w:val="32"/>
        </w:rPr>
        <w:t xml:space="preserve">  县级以上人民政府应当加大草地生态畜牧业投入，将草地生态畜牧业发展资金列入本级财政预算，根据发展需要设立草地生态畜牧业发展专项资金。专项资金主要用于地方优良畜禽品种保护和良种繁育、饲草饲料生产保障、动物疫病防控、质量安全监管、市场营销、畜牧产品加工、品牌创建、信息化建设等草地生态畜牧业配套体系建设。</w:t>
      </w:r>
    </w:p>
    <w:p>
      <w:pPr>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级以上人民政府应当建立完善草地生态畜牧业贷款贴息机制，引导金融机构支持草地生态畜牧业发展。建立完善草地生态畜牧业保险机制、联合防灾防损机制、受灾理赔机制，增强草地生态畜牧业抵御防范灾害能力。</w:t>
      </w:r>
    </w:p>
    <w:p>
      <w:pPr>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w:t>
      </w:r>
      <w:r>
        <w:rPr>
          <w:rFonts w:hint="default" w:ascii="Times New Roman" w:hAnsi="Times New Roman" w:eastAsia="仿宋_GB2312" w:cs="Times New Roman"/>
          <w:color w:val="000000"/>
          <w:sz w:val="32"/>
          <w:szCs w:val="32"/>
        </w:rPr>
        <w:t xml:space="preserve">  县级以上人民政府草地生态畜牧业行政主管部门负责草地生态畜牧业发展和监督管理工作；自治州、县人民政府其他部门按照各自职责，做好草地生态畜牧业发展的相关工作。</w:t>
      </w:r>
    </w:p>
    <w:p>
      <w:pPr>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乡镇人民政府（街道办事处）应当配合有关部门做好草地生态畜牧业发展的具体工作。</w:t>
      </w:r>
    </w:p>
    <w:p>
      <w:pPr>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村居民委员会协助有关部门和乡镇人民政府做好草地生态畜牧业发展的相关工作。</w:t>
      </w:r>
    </w:p>
    <w:p>
      <w:pPr>
        <w:pStyle w:val="23"/>
        <w:shd w:val="clear" w:color="auto" w:fill="FFFFFF"/>
        <w:spacing w:beforeAutospacing="0" w:afterAutospacing="0" w:line="600"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rPr>
        <w:t xml:space="preserve">第七条  </w:t>
      </w:r>
      <w:r>
        <w:rPr>
          <w:rFonts w:hint="default" w:ascii="Times New Roman" w:hAnsi="Times New Roman" w:eastAsia="仿宋_GB2312" w:cs="Times New Roman"/>
          <w:color w:val="000000"/>
          <w:sz w:val="32"/>
          <w:szCs w:val="32"/>
        </w:rPr>
        <w:t>县级以上</w:t>
      </w:r>
      <w:r>
        <w:rPr>
          <w:rFonts w:hint="default" w:ascii="Times New Roman" w:hAnsi="Times New Roman" w:eastAsia="仿宋_GB2312" w:cs="Times New Roman"/>
          <w:color w:val="000000"/>
          <w:kern w:val="2"/>
          <w:sz w:val="32"/>
          <w:szCs w:val="32"/>
        </w:rPr>
        <w:t>人民政府</w:t>
      </w:r>
      <w:r>
        <w:rPr>
          <w:rFonts w:hint="default" w:ascii="Times New Roman" w:hAnsi="Times New Roman" w:eastAsia="仿宋_GB2312" w:cs="Times New Roman"/>
          <w:color w:val="000000"/>
          <w:sz w:val="32"/>
          <w:szCs w:val="32"/>
        </w:rPr>
        <w:t>草地生态畜牧业</w:t>
      </w:r>
      <w:r>
        <w:rPr>
          <w:rFonts w:hint="default" w:ascii="Times New Roman" w:hAnsi="Times New Roman" w:eastAsia="仿宋_GB2312" w:cs="Times New Roman"/>
          <w:color w:val="000000"/>
          <w:kern w:val="2"/>
          <w:sz w:val="32"/>
          <w:szCs w:val="32"/>
        </w:rPr>
        <w:t>行政主管部门会同有关部门编制草地生态畜牧业发展规划，报同级人民政府批准后实施。</w:t>
      </w:r>
    </w:p>
    <w:p>
      <w:pPr>
        <w:tabs>
          <w:tab w:val="left" w:pos="3828"/>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仿宋_GB2312" w:cs="Times New Roman"/>
          <w:color w:val="000000"/>
          <w:sz w:val="32"/>
          <w:szCs w:val="32"/>
        </w:rPr>
        <w:t xml:space="preserve">  县</w:t>
      </w:r>
      <w:r>
        <w:rPr>
          <w:rFonts w:hint="default" w:ascii="Times New Roman" w:hAnsi="Times New Roman" w:eastAsia="仿宋_GB2312" w:cs="Times New Roman"/>
          <w:color w:val="000000"/>
          <w:spacing w:val="-5"/>
          <w:sz w:val="32"/>
          <w:szCs w:val="32"/>
        </w:rPr>
        <w:t>级以上人民政府应当加强基层专业技术队伍建设，培养、引进、使用高层次专业人才，开展草地生态畜牧业科学技术研究，促进草地生态畜牧业科技成果转化应用，支持鼓励科技创新；对草地生态畜牧业发展做出显著成绩的单位和个人予以奖励。</w:t>
      </w:r>
    </w:p>
    <w:p>
      <w:pPr>
        <w:tabs>
          <w:tab w:val="left" w:pos="3828"/>
        </w:tabs>
        <w:spacing w:line="60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仿宋_GB2312" w:cs="Times New Roman"/>
          <w:color w:val="000000"/>
          <w:sz w:val="32"/>
          <w:szCs w:val="32"/>
        </w:rPr>
        <w:t xml:space="preserve">  草地承包方承包草地后，享有土地承包经营权，可以自己经营，也可以按照合法、自愿、有偿原则保留土地承包权，流转其承包草地的草地经营权，由他人经营。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采用公司加基地加农户加合作社等模式，激活资金、技术、土地、劳动力等要素发展草地生态畜牧业；支持国有企业、民营企业、农村集体经济组织、农民和畜牧业合作经济组织积极参与，实行草地承包、生态养殖、生产经营、市场开发一体化，建设民族特色养殖场、养殖小区，发展现代草地生态畜牧业。</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仿宋_GB2312" w:cs="Times New Roman"/>
          <w:color w:val="000000"/>
          <w:sz w:val="32"/>
          <w:szCs w:val="32"/>
        </w:rPr>
        <w:t xml:space="preserve">  县级人民政府应当坚持草畜生态平衡原则，对退化、石漠化和水土流失严重的草地，实行禁牧、休牧、轮牧制度，并组织开展治理。</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eastAsia="仿宋_GB2312" w:cs="Times New Roman"/>
          <w:color w:val="000000"/>
          <w:sz w:val="32"/>
          <w:szCs w:val="32"/>
        </w:rPr>
        <w:t xml:space="preserve">  禁止实施下列行为： </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（一）擅自在草地资源上从事矿藏开采、工程建设以及其他与草地生态畜牧业经营无关的活动；</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（二）擅自在草地资源上挖鱼塘、铲草皮、挖草炭、钻井提取工业用水等破坏草地植被的行为；</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（三）向草地资源倾倒排放固体、液体等废物和生活垃圾等；</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（四）其他破坏草地资源生态的行为。</w:t>
      </w:r>
    </w:p>
    <w:p>
      <w:pPr>
        <w:tabs>
          <w:tab w:val="left" w:pos="2865"/>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第十二条</w:t>
      </w:r>
      <w:r>
        <w:rPr>
          <w:rFonts w:hint="default" w:ascii="Times New Roman" w:hAnsi="Times New Roman" w:eastAsia="仿宋_GB2312" w:cs="Times New Roman"/>
          <w:color w:val="000000"/>
          <w:sz w:val="32"/>
          <w:szCs w:val="32"/>
        </w:rPr>
        <w:t xml:space="preserve">  鼓励实施退耕还林还草，利用工矿废弃用地、一般林地等资源发展生态畜牧业。</w:t>
      </w:r>
    </w:p>
    <w:p>
      <w:pPr>
        <w:spacing w:line="600" w:lineRule="exact"/>
        <w:ind w:firstLine="704" w:firstLineChars="22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第十三条</w:t>
      </w:r>
      <w:r>
        <w:rPr>
          <w:rFonts w:hint="default" w:ascii="Times New Roman" w:hAnsi="Times New Roman" w:eastAsia="仿宋_GB2312" w:cs="Times New Roman"/>
          <w:color w:val="000000"/>
          <w:sz w:val="32"/>
          <w:szCs w:val="32"/>
        </w:rPr>
        <w:t xml:space="preserve">  支持和引导农民以畜禽棚圈、饲草料基地、草地围栏和人畜饮水工程等为基础发展草地生态畜牧业，优先安排配套基础设施建设项目。</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第十四条</w:t>
      </w:r>
      <w:r>
        <w:rPr>
          <w:rFonts w:hint="default" w:ascii="Times New Roman" w:hAnsi="Times New Roman" w:eastAsia="仿宋_GB2312" w:cs="Times New Roman"/>
          <w:color w:val="000000"/>
          <w:sz w:val="32"/>
          <w:szCs w:val="32"/>
        </w:rPr>
        <w:t xml:space="preserve">  鼓励支持申报无公害、绿色、有机畜禽产品产地认定、认证，创建名特优畜禽品牌。</w:t>
      </w:r>
    </w:p>
    <w:p>
      <w:pPr>
        <w:tabs>
          <w:tab w:val="left" w:pos="3828"/>
        </w:tabs>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第十五条</w:t>
      </w:r>
      <w:r>
        <w:rPr>
          <w:rFonts w:hint="default" w:ascii="Times New Roman" w:hAnsi="Times New Roman" w:eastAsia="仿宋_GB2312" w:cs="Times New Roman"/>
          <w:color w:val="000000"/>
          <w:sz w:val="32"/>
          <w:szCs w:val="32"/>
        </w:rPr>
        <w:t xml:space="preserve">  县级以上人民政府应当鼓励建立畜禽优良品种原种场、扩繁场，推广人工输配和胚胎移植等繁殖新技术，培育地方特色养殖的畜禽新品种、新品系。</w:t>
      </w:r>
    </w:p>
    <w:p>
      <w:pPr>
        <w:tabs>
          <w:tab w:val="left" w:pos="3828"/>
        </w:tabs>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第十六条</w:t>
      </w:r>
      <w:r>
        <w:rPr>
          <w:rFonts w:hint="default" w:ascii="Times New Roman" w:hAnsi="Times New Roman" w:eastAsia="仿宋_GB2312" w:cs="Times New Roman"/>
          <w:color w:val="000000"/>
          <w:sz w:val="32"/>
          <w:szCs w:val="32"/>
        </w:rPr>
        <w:t xml:space="preserve">  自治州各级人民政府应当推广农作物秸秆青贮、氨化、微贮技术，提高秸秆饲料化利用率，推广饲草良种良法，做好优质饲草品种筛选与种植、划区轮牧、饲草料青贮加工。</w:t>
      </w:r>
    </w:p>
    <w:p>
      <w:pPr>
        <w:tabs>
          <w:tab w:val="left" w:pos="3828"/>
        </w:tabs>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第十七条</w:t>
      </w:r>
      <w:r>
        <w:rPr>
          <w:rFonts w:hint="default" w:ascii="Times New Roman" w:hAnsi="Times New Roman" w:eastAsia="仿宋_GB2312" w:cs="Times New Roman"/>
          <w:color w:val="000000"/>
          <w:sz w:val="32"/>
          <w:szCs w:val="32"/>
        </w:rPr>
        <w:t xml:space="preserve">  畜牧生产经营者应当依法履行动物防疫和环境保护义务，禁止到疫区范围调运畜禽。</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第十八条</w:t>
      </w:r>
      <w:r>
        <w:rPr>
          <w:rFonts w:hint="default" w:ascii="Times New Roman" w:hAnsi="Times New Roman" w:eastAsia="仿宋_GB2312" w:cs="Times New Roman"/>
          <w:color w:val="000000"/>
          <w:sz w:val="32"/>
          <w:szCs w:val="32"/>
        </w:rPr>
        <w:t xml:space="preserve">  草食畜禽养殖场、养殖小区生产期间应当确保环境污染治理设施正常运行，污染物达标排放，对病死畜禽、粪便、废水及其他固体废弃物应当按照规定进行无害化处理。</w:t>
      </w:r>
    </w:p>
    <w:p>
      <w:pPr>
        <w:spacing w:line="600" w:lineRule="exact"/>
        <w:ind w:firstLine="640" w:firstLineChars="200"/>
        <w:rPr>
          <w:rFonts w:hint="default" w:ascii="Times New Roman" w:hAnsi="Times New Roman" w:eastAsia="仿宋_GB2312" w:cs="Times New Roman"/>
          <w:color w:val="000000"/>
        </w:rPr>
      </w:pPr>
      <w:r>
        <w:rPr>
          <w:rFonts w:hint="default" w:ascii="Times New Roman" w:hAnsi="Times New Roman" w:eastAsia="黑体" w:cs="Times New Roman"/>
          <w:color w:val="000000"/>
          <w:sz w:val="32"/>
          <w:szCs w:val="32"/>
        </w:rPr>
        <w:t>第十九条</w:t>
      </w:r>
      <w:r>
        <w:rPr>
          <w:rFonts w:hint="default" w:ascii="Times New Roman" w:hAnsi="Times New Roman" w:eastAsia="仿宋_GB2312" w:cs="Times New Roman"/>
          <w:color w:val="000000"/>
          <w:sz w:val="32"/>
          <w:szCs w:val="32"/>
        </w:rPr>
        <w:t xml:space="preserve">  违反本条例第十一条第二项规定，擅自挖鱼塘、铲草皮、挖草炭，尚不构成犯罪的，由县级以上人民政府草地行政主管部门责令停止违法行为，限期恢复植被，没收非法财物和违法所得，情节严重的并处以每亩5000元以上1万元以下的罚款；给草地所有者或者使用者造成损失的，依法承担赔偿责任。</w:t>
      </w:r>
    </w:p>
    <w:p>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第二十条</w:t>
      </w:r>
      <w:r>
        <w:rPr>
          <w:rFonts w:hint="default" w:ascii="Times New Roman" w:hAnsi="Times New Roman" w:eastAsia="仿宋_GB2312" w:cs="Times New Roman"/>
          <w:color w:val="000000"/>
          <w:sz w:val="32"/>
          <w:szCs w:val="32"/>
        </w:rPr>
        <w:t xml:space="preserve">  违反本条例规定的其他行为，相关法律法规有处罚规定的，从其规定。</w:t>
      </w:r>
    </w:p>
    <w:p>
      <w:pPr>
        <w:spacing w:line="600" w:lineRule="exact"/>
        <w:rPr>
          <w:rFonts w:hint="default" w:ascii="Times New Roman" w:hAnsi="Times New Roman" w:eastAsia="仿宋_GB2312" w:cs="Times New Roman"/>
          <w:color w:val="000000"/>
          <w:sz w:val="32"/>
          <w:szCs w:val="32"/>
        </w:rPr>
      </w:pPr>
      <w:r>
        <w:rPr>
          <w:rFonts w:hint="eastAsia"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第二十一条</w:t>
      </w:r>
      <w:r>
        <w:rPr>
          <w:rFonts w:hint="default" w:ascii="Times New Roman" w:hAnsi="Times New Roman" w:eastAsia="仿宋_GB2312" w:cs="Times New Roman"/>
          <w:color w:val="000000"/>
          <w:sz w:val="32"/>
          <w:szCs w:val="32"/>
        </w:rPr>
        <w:t xml:space="preserve">  本条例自  年  月 日起施行。</w:t>
      </w:r>
    </w:p>
    <w:p>
      <w:pPr>
        <w:spacing w:line="60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pPr>
        <w:spacing w:line="600" w:lineRule="exact"/>
        <w:rPr>
          <w:rFonts w:hint="default" w:ascii="Times New Roman" w:hAnsi="Times New Roman" w:eastAsia="仿宋_GB2312" w:cs="Times New Roman"/>
          <w:color w:val="000000"/>
          <w:sz w:val="32"/>
          <w:szCs w:val="32"/>
        </w:rPr>
      </w:pPr>
    </w:p>
    <w:p>
      <w:pPr>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关于《黔西南布依族苗族自治州草地生态</w:t>
      </w:r>
    </w:p>
    <w:p>
      <w:pPr>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畜牧业发展条例》的说明</w:t>
      </w:r>
    </w:p>
    <w:p>
      <w:pPr>
        <w:spacing w:line="600" w:lineRule="exact"/>
        <w:jc w:val="center"/>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黔西南布依族苗族自治州人大常委会</w:t>
      </w:r>
    </w:p>
    <w:p>
      <w:pPr>
        <w:adjustRightInd w:val="0"/>
        <w:snapToGrid w:val="0"/>
        <w:spacing w:line="600" w:lineRule="exact"/>
        <w:rPr>
          <w:rFonts w:hint="default" w:ascii="Times New Roman" w:hAnsi="Times New Roman" w:eastAsia="仿宋_GB2312" w:cs="Times New Roman"/>
          <w:bCs/>
          <w:color w:val="000000"/>
          <w:sz w:val="32"/>
          <w:szCs w:val="32"/>
        </w:rPr>
      </w:pPr>
    </w:p>
    <w:p>
      <w:pPr>
        <w:adjustRightInd w:val="0"/>
        <w:snapToGrid w:val="0"/>
        <w:spacing w:line="600"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贵州省人大常委会：</w:t>
      </w:r>
    </w:p>
    <w:p>
      <w:pPr>
        <w:adjustRightInd w:val="0"/>
        <w:snapToGrid w:val="0"/>
        <w:spacing w:line="600" w:lineRule="exact"/>
        <w:ind w:firstLine="640"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kern w:val="44"/>
          <w:sz w:val="32"/>
          <w:szCs w:val="32"/>
        </w:rPr>
        <w:t>《</w:t>
      </w:r>
      <w:r>
        <w:rPr>
          <w:rFonts w:hint="default" w:ascii="Times New Roman" w:hAnsi="Times New Roman" w:eastAsia="仿宋_GB2312" w:cs="Times New Roman"/>
          <w:color w:val="000000"/>
          <w:sz w:val="32"/>
          <w:szCs w:val="32"/>
        </w:rPr>
        <w:t>黔西南布依族苗族自治州草地生态畜牧业发展条例</w:t>
      </w:r>
      <w:r>
        <w:rPr>
          <w:rFonts w:hint="default" w:ascii="Times New Roman" w:hAnsi="Times New Roman" w:eastAsia="仿宋_GB2312" w:cs="Times New Roman"/>
          <w:bCs/>
          <w:color w:val="000000"/>
          <w:sz w:val="32"/>
          <w:szCs w:val="32"/>
        </w:rPr>
        <w:t>》（以下简称《条例》），已</w:t>
      </w:r>
      <w:r>
        <w:rPr>
          <w:rFonts w:hint="default" w:ascii="Times New Roman" w:hAnsi="Times New Roman" w:eastAsia="仿宋_GB2312" w:cs="Times New Roman"/>
          <w:color w:val="000000"/>
          <w:sz w:val="32"/>
          <w:szCs w:val="32"/>
        </w:rPr>
        <w:t>于20</w:t>
      </w:r>
      <w:r>
        <w:rPr>
          <w:rFonts w:hint="default" w:ascii="Times New Roman" w:hAnsi="Times New Roman" w:eastAsia="仿宋_GB2312" w:cs="Times New Roman"/>
          <w:color w:val="000000"/>
          <w:kern w:val="44"/>
          <w:sz w:val="32"/>
          <w:szCs w:val="32"/>
        </w:rPr>
        <w:t>19年1月12日经黔西南布依族苗族自治州第八届人民代表大会第三次会议审议通过。</w:t>
      </w:r>
      <w:r>
        <w:rPr>
          <w:rFonts w:hint="default" w:ascii="Times New Roman" w:hAnsi="Times New Roman" w:eastAsia="仿宋_GB2312" w:cs="Times New Roman"/>
          <w:bCs/>
          <w:color w:val="000000"/>
          <w:sz w:val="32"/>
          <w:szCs w:val="32"/>
        </w:rPr>
        <w:t>现报请省人大常委会批准，并对《条例》作如下说明。</w:t>
      </w:r>
    </w:p>
    <w:p>
      <w:pPr>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一、制定《条例》的必要性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黔西南布依族苗族自治州（以下简称自治州）位于滇黔桂三省（区）结合部，贵州省西南隅、</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"https://baike.so.com/doc/5581506-5794395.html" \t "https://baike.so.com/doc/_blank" </w:instrText>
      </w:r>
      <w:r>
        <w:rPr>
          <w:rFonts w:hint="default" w:ascii="Times New Roman" w:hAnsi="Times New Roman" w:cs="Times New Roman"/>
        </w:rPr>
        <w:fldChar w:fldCharType="separate"/>
      </w:r>
      <w:r>
        <w:rPr>
          <w:rFonts w:hint="default" w:ascii="Times New Roman" w:hAnsi="Times New Roman" w:eastAsia="仿宋_GB2312" w:cs="Times New Roman"/>
          <w:color w:val="000000"/>
          <w:sz w:val="32"/>
          <w:szCs w:val="32"/>
        </w:rPr>
        <w:t>云贵高原</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东南端,全州气候属亚热带季风湿润气候区,发展草地生态畜牧业的天然条件得天独厚。自治州内各族群众世世代代都具有保护生态，养殖牲畜的悠久历史，通过畜牧饲养发展生产、增加收入、改善生活，因此畜牧业收入在农民收入中占较大比重，农民群众发展生态畜牧产业积极性很高。近年来，自治州整合退耕还林还草、石漠化治理、保护生态环境、调整畜牧业在农业产业中比重等，大力发展草地生态畜牧业，切实帮助农民群众脱贫致富，为打赢脱贫攻坚战奠定了良好基础。特别是在国家有关部、办、委、局的支持帮助和贵州省委、省政府及相关部门的高度重视下，全州人工草场、改良草地面积逐年扩大(根据第二次国土调查数据，自治州草原存量为398.25万亩，占全省草原面积16.5%，在全省排名第二位)。草地植被有了较快的恢复，水土流失得到有效遏制，生态环境治理成效显著，广大农民群众种草养羊、养牛积极性高涨，通过土地流转、“三变”改革、公司加农户加基地加合作社等模式，生态畜牧产业发展迅速，形成了有较大影响的“睛隆模式”、“册南模式”。探索出一条喀斯特山区种草养畜与扶贫开发、石漠化治理相结合的新路，破解了当地生态脆弱地区农村贫困与生态退化恶性循环的问题。2018年末，全州肉牛存栏48.27万头、出栏16.92万头，肉羊存栏48.96万只、出栏36.91万只, 种草养畜成为助推自治州脱贫攻坚的重要产业之一。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但是，自治州草地生态畜牧业的发展仍然存在制约瓶颈，主要是：各级政府及相关部门对草地生态畜牧业发展力度还需要加大；草地生态畜牧业抵御防范灾害能力较弱；草地承包、使用、经营权规模流转机制不灵活，资金、技术、土地、劳动力等要素没有有效激活；畜产品质量有待提高；破坏草地和影响畜牧业发展的违法行为时有发生等。为有效解决这些问题，确保草地生态畜牧业科学规划、依法监管、生态环保、助民致富，使草地生态畜牧业规范有序、全面有效地可持续发展，促进广大农民群众脱贫致富奔小康，制定该《条例》十分必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二、《条例》立法依据及起草过程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（一）立法依据</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《条例》主要依据《中华人民共和国民族区域自治法》《中华人民共和国立法法》《中华人民共和国草原法》《中华人民共和国畜牧法》等有关法律法规，结合自治州实际制定。</w:t>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（二）起草过程</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治州七届人大五年立法规划将《条例》列入计划后，2012年8月成立了领导小组，收集相关资料、多方面调研，精心撰写，广泛征求意见，外出学习考察、反复论证、修改。2016年7月5日经七届自治州人民政府第62次常务会议讨论通过，2016年7月14日提请六届自治州委常委会第13次会议审定并同意，于2016年8月1日提交自治州人大常委会。2016年8月25日，自治州七届人大常委会第35次会议初次审议了《</w:t>
      </w:r>
      <w:r>
        <w:rPr>
          <w:rFonts w:hint="default" w:ascii="Times New Roman" w:hAnsi="Times New Roman" w:eastAsia="仿宋_GB2312" w:cs="Times New Roman"/>
          <w:spacing w:val="-11"/>
          <w:sz w:val="32"/>
          <w:szCs w:val="32"/>
        </w:rPr>
        <w:t>黔西南布依族苗族自治州草地生态畜牧业发展条例</w:t>
      </w:r>
      <w:r>
        <w:rPr>
          <w:rFonts w:hint="default" w:ascii="Times New Roman" w:hAnsi="Times New Roman" w:eastAsia="仿宋_GB2312" w:cs="Times New Roman"/>
          <w:color w:val="000000"/>
          <w:sz w:val="32"/>
          <w:szCs w:val="32"/>
        </w:rPr>
        <w:t>（草案）》（以下简称《条例（草案）》）后，召开了专题会、座谈会、法制委员会会议等对《条例（草案）》进行研究修改。2016年10月26日，自治州七届人大常委会第36次会议第二次审议了《条例（草案）》，根据审议意见进行修改后，于2016年11月29日报省人大帮助组织论证。为充分吸纳自治州八届人大常委会组成人员的意见，2018年12月21日，自治州八届人大常委会第15次会议第三次审议了《条例（草案）》，会后又向自治州人民政府相关部门征求意见。2018年12月29日召开自治州八届人大法制委员会第一次会议对《条例（草案）》进行逐条审议、</w:t>
      </w:r>
      <w:r>
        <w:rPr>
          <w:rFonts w:hint="default" w:ascii="Times New Roman" w:hAnsi="Times New Roman" w:eastAsia="仿宋_GB2312" w:cs="Times New Roman"/>
          <w:color w:val="000000"/>
          <w:spacing w:val="-3"/>
          <w:sz w:val="32"/>
          <w:szCs w:val="32"/>
        </w:rPr>
        <w:t>修改，并向省农业厅、林业局征求意见。2019年1月11日召开自治州八届人大法制委员会第二次会议对</w:t>
      </w:r>
      <w:r>
        <w:rPr>
          <w:rFonts w:hint="default" w:ascii="Times New Roman" w:hAnsi="Times New Roman" w:eastAsia="仿宋_GB2312" w:cs="Times New Roman"/>
          <w:color w:val="000000"/>
          <w:sz w:val="32"/>
          <w:szCs w:val="32"/>
        </w:rPr>
        <w:t>《条例（草案）》</w:t>
      </w:r>
      <w:r>
        <w:rPr>
          <w:rFonts w:hint="default" w:ascii="Times New Roman" w:hAnsi="Times New Roman" w:eastAsia="仿宋_GB2312" w:cs="Times New Roman"/>
          <w:color w:val="000000"/>
          <w:spacing w:val="-3"/>
          <w:sz w:val="32"/>
          <w:szCs w:val="32"/>
        </w:rPr>
        <w:t>进行审议、修改，修改文本于1月12日自治州八届人民代表大会第三次会议审议通过并授权法制委员会根据人代会期间收集到的意见修改完善后报省人大常委会批准。</w:t>
      </w:r>
    </w:p>
    <w:p>
      <w:pPr>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三、《条例》的主要内容</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《条例》主要从以下五个方面进行了规范：</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color w:val="000000"/>
          <w:sz w:val="32"/>
          <w:szCs w:val="32"/>
        </w:rPr>
        <w:t>阐述了编制起草的目的、适用范围，对草地生态畜牧业概念进行了解释；</w:t>
      </w:r>
      <w:r>
        <w:rPr>
          <w:rFonts w:hint="default" w:ascii="Times New Roman" w:hAnsi="Times New Roman" w:eastAsia="仿宋_GB2312" w:cs="Times New Roman"/>
          <w:b/>
          <w:bCs/>
          <w:color w:val="000000"/>
          <w:sz w:val="32"/>
          <w:szCs w:val="32"/>
        </w:rPr>
        <w:t>二是</w:t>
      </w:r>
      <w:r>
        <w:rPr>
          <w:rFonts w:hint="default" w:ascii="Times New Roman" w:hAnsi="Times New Roman" w:eastAsia="仿宋_GB2312" w:cs="Times New Roman"/>
          <w:color w:val="000000"/>
          <w:sz w:val="32"/>
          <w:szCs w:val="32"/>
        </w:rPr>
        <w:t>规定了各级政府及相关部门的职责；</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color w:val="000000"/>
          <w:sz w:val="32"/>
          <w:szCs w:val="32"/>
        </w:rPr>
        <w:t>建立草地生态畜牧业抵御防范灾害能力保障机制；</w:t>
      </w:r>
      <w:r>
        <w:rPr>
          <w:rFonts w:hint="default" w:ascii="Times New Roman" w:hAnsi="Times New Roman" w:eastAsia="仿宋_GB2312" w:cs="Times New Roman"/>
          <w:b/>
          <w:bCs/>
          <w:color w:val="000000"/>
          <w:sz w:val="32"/>
          <w:szCs w:val="32"/>
        </w:rPr>
        <w:t>四是</w:t>
      </w:r>
      <w:r>
        <w:rPr>
          <w:rFonts w:hint="default" w:ascii="Times New Roman" w:hAnsi="Times New Roman" w:eastAsia="仿宋_GB2312" w:cs="Times New Roman"/>
          <w:color w:val="000000"/>
          <w:sz w:val="32"/>
          <w:szCs w:val="32"/>
        </w:rPr>
        <w:t>解决草地承包、使用、经营权规模流转机制不灵活以及资金、技术、土地、劳动力等要素参与问题；</w:t>
      </w:r>
      <w:r>
        <w:rPr>
          <w:rFonts w:hint="default" w:ascii="Times New Roman" w:hAnsi="Times New Roman" w:eastAsia="仿宋_GB2312" w:cs="Times New Roman"/>
          <w:b/>
          <w:bCs/>
          <w:color w:val="000000"/>
          <w:sz w:val="32"/>
          <w:szCs w:val="32"/>
        </w:rPr>
        <w:t>五是</w:t>
      </w:r>
      <w:r>
        <w:rPr>
          <w:rFonts w:hint="default" w:ascii="Times New Roman" w:hAnsi="Times New Roman" w:eastAsia="仿宋_GB2312" w:cs="Times New Roman"/>
          <w:color w:val="000000"/>
          <w:sz w:val="32"/>
          <w:szCs w:val="32"/>
        </w:rPr>
        <w:t>保障畜产品质量安全问题等。</w:t>
      </w:r>
    </w:p>
    <w:p>
      <w:pPr>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四、需要说明的问题</w:t>
      </w:r>
      <w:r>
        <w:rPr>
          <w:rFonts w:hint="default" w:ascii="Times New Roman" w:hAnsi="Times New Roman" w:eastAsia="楷体" w:cs="Times New Roman"/>
          <w:b/>
          <w:bCs/>
          <w:color w:val="000000"/>
          <w:sz w:val="32"/>
          <w:szCs w:val="32"/>
        </w:rPr>
        <w:tab/>
      </w:r>
    </w:p>
    <w:p>
      <w:pPr>
        <w:spacing w:line="60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（一）关于经费保障</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为支持发展草地生态畜牧业，第五条规定：“加大草地生态畜牧业投入，将草地生态畜牧业发展资金列入本级财政预算，根据发展需要，设立草地生态畜牧业发展专项资金。”</w:t>
      </w:r>
    </w:p>
    <w:p>
      <w:pPr>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（二）关于创品牌和培育良种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为支持我州知名优畜禽品牌和加大优良品种的培育，第十四条、第十五条、第十六条设立了相关规定。</w:t>
      </w:r>
    </w:p>
    <w:p>
      <w:pPr>
        <w:spacing w:line="600" w:lineRule="exact"/>
        <w:ind w:firstLine="640" w:firstLineChars="200"/>
        <w:rPr>
          <w:rFonts w:hint="default" w:ascii="Times New Roman" w:hAnsi="Times New Roman" w:eastAsia="楷体" w:cs="Times New Roman"/>
          <w:bCs/>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（三）</w:t>
      </w:r>
      <w:r>
        <w:rPr>
          <w:rFonts w:hint="default" w:ascii="Times New Roman" w:hAnsi="Times New Roman" w:eastAsia="楷体" w:cs="Times New Roman"/>
          <w:bCs/>
          <w:color w:val="000000" w:themeColor="text1"/>
          <w:sz w:val="32"/>
          <w:szCs w:val="32"/>
          <w14:textFill>
            <w14:solidFill>
              <w14:schemeClr w14:val="tx1"/>
            </w14:solidFill>
          </w14:textFill>
        </w:rPr>
        <w:t>关于处罚条款说明</w:t>
      </w: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本《条例》为单行条例，在第十九条设置了对擅自在草地资源上挖鱼塘、铲草皮、挖草炭的违法行为的处罚条款，以提高违法成本，加大保护力度。</w:t>
      </w: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因违反本《条例》的其他违法情形，在《中华人民共和国水法》《中华人民共和国环境保护法》《中华人民共和国矿产资源法》等上位法中均有明确的处罚条款，故没有重复进行规定，以第二十条作为兜底。</w:t>
      </w:r>
    </w:p>
    <w:p>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以上说明连同《条例》文本，请予审议。</w:t>
      </w:r>
    </w:p>
    <w:p>
      <w:pPr>
        <w:spacing w:line="600" w:lineRule="exact"/>
        <w:rPr>
          <w:rFonts w:hint="default" w:ascii="Times New Roman" w:hAnsi="Times New Roman" w:cs="Times New Roman"/>
          <w:color w:val="000000"/>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adjustRightInd w:val="0"/>
        <w:snapToGrid w:val="0"/>
        <w:spacing w:line="600" w:lineRule="exact"/>
        <w:rPr>
          <w:rFonts w:hint="default" w:ascii="Times New Roman" w:hAnsi="Times New Roman" w:eastAsia="仿宋_GB2312" w:cs="Times New Roman"/>
          <w:kern w:val="44"/>
          <w:sz w:val="32"/>
          <w:szCs w:val="32"/>
        </w:rPr>
      </w:pPr>
    </w:p>
    <w:p>
      <w:pPr>
        <w:keepNext w:val="0"/>
        <w:keepLines w:val="0"/>
        <w:pageBreakBefore w:val="0"/>
        <w:widowControl w:val="0"/>
        <w:kinsoku/>
        <w:wordWrap/>
        <w:overflowPunct/>
        <w:topLinePunct w:val="0"/>
        <w:autoSpaceDE/>
        <w:autoSpaceDN/>
        <w:bidi w:val="0"/>
        <w:adjustRightInd w:val="0"/>
        <w:snapToGrid w:val="0"/>
        <w:spacing w:line="840" w:lineRule="exact"/>
        <w:ind w:left="0" w:leftChars="0" w:right="0" w:rightChars="0" w:firstLine="0" w:firstLineChars="0"/>
        <w:jc w:val="both"/>
        <w:textAlignment w:val="auto"/>
        <w:outlineLvl w:val="9"/>
        <w:rPr>
          <w:rFonts w:hint="default" w:ascii="Times New Roman" w:hAnsi="Times New Roman" w:eastAsia="仿宋_GB2312" w:cs="Times New Roman"/>
          <w:kern w:val="44"/>
          <w:sz w:val="32"/>
          <w:szCs w:val="32"/>
        </w:rPr>
      </w:pPr>
    </w:p>
    <w:p>
      <w:pPr>
        <w:pBdr>
          <w:top w:val="single" w:color="auto" w:sz="4" w:space="0"/>
          <w:bottom w:val="single" w:color="auto" w:sz="4" w:space="0"/>
        </w:pBdr>
        <w:adjustRightInd w:val="0"/>
        <w:snapToGrid w:val="0"/>
        <w:spacing w:line="600" w:lineRule="exact"/>
        <w:rPr>
          <w:rFonts w:hint="default" w:ascii="Times New Roman" w:hAnsi="Times New Roman" w:eastAsia="仿宋_GB2312" w:cs="Times New Roman"/>
          <w:kern w:val="44"/>
          <w:sz w:val="28"/>
          <w:szCs w:val="28"/>
        </w:rPr>
      </w:pPr>
      <w:r>
        <w:rPr>
          <w:rFonts w:hint="default" w:ascii="Times New Roman" w:hAnsi="Times New Roman" w:eastAsia="仿宋_GB2312" w:cs="Times New Roman"/>
          <w:kern w:val="44"/>
          <w:sz w:val="28"/>
          <w:szCs w:val="28"/>
        </w:rPr>
        <w:t xml:space="preserve"> 黔西南自治州人大常委会办公室               2019年2月2日印发</w:t>
      </w:r>
    </w:p>
    <w:p>
      <w:pPr>
        <w:adjustRightInd w:val="0"/>
        <w:snapToGrid w:val="0"/>
        <w:spacing w:line="600" w:lineRule="exact"/>
        <w:rPr>
          <w:rFonts w:hint="default" w:ascii="Times New Roman" w:hAnsi="Times New Roman" w:eastAsia="仿宋_GB2312" w:cs="Times New Roman"/>
          <w:kern w:val="44"/>
          <w:sz w:val="28"/>
          <w:szCs w:val="28"/>
        </w:rPr>
      </w:pPr>
      <w:r>
        <w:rPr>
          <w:rFonts w:hint="default" w:ascii="Times New Roman" w:hAnsi="Times New Roman" w:eastAsia="仿宋_GB2312" w:cs="Times New Roman"/>
          <w:kern w:val="44"/>
          <w:sz w:val="28"/>
          <w:szCs w:val="28"/>
        </w:rPr>
        <w:t xml:space="preserve">                                               共印260份</w:t>
      </w:r>
    </w:p>
    <w:sectPr>
      <w:type w:val="continuous"/>
      <w:pgSz w:w="11906" w:h="16838"/>
      <w:pgMar w:top="1814" w:right="1531" w:bottom="1304" w:left="1531" w:header="851" w:footer="1304" w:gutter="0"/>
      <w:cols w:space="72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GB2312">
    <w:altName w:val="Calibri"/>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dobe 仿宋 Std R">
    <w:panose1 w:val="02020400000000000000"/>
    <w:charset w:val="86"/>
    <w:family w:val="roman"/>
    <w:pitch w:val="default"/>
    <w:sig w:usb0="00000001" w:usb1="0A0F1810" w:usb2="00000016" w:usb3="00000000" w:csb0="00060007"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4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73"/>
    <w:rsid w:val="00002128"/>
    <w:rsid w:val="00002E1F"/>
    <w:rsid w:val="00011E3B"/>
    <w:rsid w:val="000155B6"/>
    <w:rsid w:val="0002548B"/>
    <w:rsid w:val="00033EC3"/>
    <w:rsid w:val="000410BA"/>
    <w:rsid w:val="0006125D"/>
    <w:rsid w:val="00074FC2"/>
    <w:rsid w:val="00077042"/>
    <w:rsid w:val="00085089"/>
    <w:rsid w:val="000B1AB4"/>
    <w:rsid w:val="000D0FBE"/>
    <w:rsid w:val="000E6458"/>
    <w:rsid w:val="000F1583"/>
    <w:rsid w:val="00123513"/>
    <w:rsid w:val="00126037"/>
    <w:rsid w:val="00131647"/>
    <w:rsid w:val="00150C3E"/>
    <w:rsid w:val="001526BA"/>
    <w:rsid w:val="001714B5"/>
    <w:rsid w:val="00171D05"/>
    <w:rsid w:val="001866C8"/>
    <w:rsid w:val="001934D0"/>
    <w:rsid w:val="001A58B9"/>
    <w:rsid w:val="001B2DEA"/>
    <w:rsid w:val="001D519A"/>
    <w:rsid w:val="001F5937"/>
    <w:rsid w:val="00212090"/>
    <w:rsid w:val="00230009"/>
    <w:rsid w:val="0025369D"/>
    <w:rsid w:val="00263683"/>
    <w:rsid w:val="002808C7"/>
    <w:rsid w:val="002B13F6"/>
    <w:rsid w:val="002B36D2"/>
    <w:rsid w:val="002C3C67"/>
    <w:rsid w:val="002C78A9"/>
    <w:rsid w:val="002D025B"/>
    <w:rsid w:val="002E03AB"/>
    <w:rsid w:val="0030269D"/>
    <w:rsid w:val="00340C1F"/>
    <w:rsid w:val="00357909"/>
    <w:rsid w:val="00373DAB"/>
    <w:rsid w:val="003758FA"/>
    <w:rsid w:val="003838A3"/>
    <w:rsid w:val="003A271C"/>
    <w:rsid w:val="003D1F24"/>
    <w:rsid w:val="003F1043"/>
    <w:rsid w:val="003F4C20"/>
    <w:rsid w:val="003F565E"/>
    <w:rsid w:val="003F602B"/>
    <w:rsid w:val="0040133A"/>
    <w:rsid w:val="00406EE1"/>
    <w:rsid w:val="00420D87"/>
    <w:rsid w:val="004356FD"/>
    <w:rsid w:val="004506AE"/>
    <w:rsid w:val="0047501F"/>
    <w:rsid w:val="004929CD"/>
    <w:rsid w:val="0049596B"/>
    <w:rsid w:val="004A0C9C"/>
    <w:rsid w:val="004A313D"/>
    <w:rsid w:val="004A511F"/>
    <w:rsid w:val="004A65E7"/>
    <w:rsid w:val="004C1CE7"/>
    <w:rsid w:val="004D053D"/>
    <w:rsid w:val="004D056B"/>
    <w:rsid w:val="005153F0"/>
    <w:rsid w:val="005466FC"/>
    <w:rsid w:val="005508A2"/>
    <w:rsid w:val="00555406"/>
    <w:rsid w:val="00576D15"/>
    <w:rsid w:val="0059005C"/>
    <w:rsid w:val="005A0E15"/>
    <w:rsid w:val="005A6C01"/>
    <w:rsid w:val="005C2376"/>
    <w:rsid w:val="005E5358"/>
    <w:rsid w:val="005F09C6"/>
    <w:rsid w:val="00600289"/>
    <w:rsid w:val="00614D89"/>
    <w:rsid w:val="00616158"/>
    <w:rsid w:val="006325C0"/>
    <w:rsid w:val="00632F3B"/>
    <w:rsid w:val="006372DB"/>
    <w:rsid w:val="00653DD8"/>
    <w:rsid w:val="00661E09"/>
    <w:rsid w:val="006836EA"/>
    <w:rsid w:val="00696E8C"/>
    <w:rsid w:val="006A7B27"/>
    <w:rsid w:val="006D2450"/>
    <w:rsid w:val="006D3102"/>
    <w:rsid w:val="007021B4"/>
    <w:rsid w:val="00706833"/>
    <w:rsid w:val="007155C5"/>
    <w:rsid w:val="0072767F"/>
    <w:rsid w:val="00737B3F"/>
    <w:rsid w:val="007410F7"/>
    <w:rsid w:val="00753334"/>
    <w:rsid w:val="00770030"/>
    <w:rsid w:val="00782122"/>
    <w:rsid w:val="007D5708"/>
    <w:rsid w:val="007F3435"/>
    <w:rsid w:val="00801F80"/>
    <w:rsid w:val="00802D36"/>
    <w:rsid w:val="008173F3"/>
    <w:rsid w:val="008363BF"/>
    <w:rsid w:val="00836E49"/>
    <w:rsid w:val="00855808"/>
    <w:rsid w:val="00860F32"/>
    <w:rsid w:val="0086492D"/>
    <w:rsid w:val="008863B6"/>
    <w:rsid w:val="008E7ECF"/>
    <w:rsid w:val="008F05C0"/>
    <w:rsid w:val="008F6480"/>
    <w:rsid w:val="00925773"/>
    <w:rsid w:val="00936EE7"/>
    <w:rsid w:val="009442F2"/>
    <w:rsid w:val="009601D8"/>
    <w:rsid w:val="009974BD"/>
    <w:rsid w:val="009A2CB0"/>
    <w:rsid w:val="009B0913"/>
    <w:rsid w:val="009B7AD8"/>
    <w:rsid w:val="00A11569"/>
    <w:rsid w:val="00A11CF8"/>
    <w:rsid w:val="00A26F10"/>
    <w:rsid w:val="00A30DD4"/>
    <w:rsid w:val="00A30E93"/>
    <w:rsid w:val="00A5216D"/>
    <w:rsid w:val="00A55364"/>
    <w:rsid w:val="00A6020F"/>
    <w:rsid w:val="00A9303C"/>
    <w:rsid w:val="00A96F97"/>
    <w:rsid w:val="00AA787E"/>
    <w:rsid w:val="00AB20FF"/>
    <w:rsid w:val="00AE32BD"/>
    <w:rsid w:val="00AF6D40"/>
    <w:rsid w:val="00B03C96"/>
    <w:rsid w:val="00B12ED3"/>
    <w:rsid w:val="00B25D7E"/>
    <w:rsid w:val="00B622B9"/>
    <w:rsid w:val="00B80F55"/>
    <w:rsid w:val="00B93EBE"/>
    <w:rsid w:val="00B94D8D"/>
    <w:rsid w:val="00BA47FC"/>
    <w:rsid w:val="00BC1B8D"/>
    <w:rsid w:val="00C00FD0"/>
    <w:rsid w:val="00C031AE"/>
    <w:rsid w:val="00C329F1"/>
    <w:rsid w:val="00C35FAD"/>
    <w:rsid w:val="00C64205"/>
    <w:rsid w:val="00CA44B3"/>
    <w:rsid w:val="00CB4F35"/>
    <w:rsid w:val="00CE5D4A"/>
    <w:rsid w:val="00CE6113"/>
    <w:rsid w:val="00CE643F"/>
    <w:rsid w:val="00D02F5C"/>
    <w:rsid w:val="00D04830"/>
    <w:rsid w:val="00D103AE"/>
    <w:rsid w:val="00D1296D"/>
    <w:rsid w:val="00D1495C"/>
    <w:rsid w:val="00D41CF7"/>
    <w:rsid w:val="00D7036C"/>
    <w:rsid w:val="00D81647"/>
    <w:rsid w:val="00D835E6"/>
    <w:rsid w:val="00D90023"/>
    <w:rsid w:val="00D905F7"/>
    <w:rsid w:val="00D9298D"/>
    <w:rsid w:val="00DA36B1"/>
    <w:rsid w:val="00DC66D7"/>
    <w:rsid w:val="00DD31A4"/>
    <w:rsid w:val="00DF2FD3"/>
    <w:rsid w:val="00E02ED0"/>
    <w:rsid w:val="00E03C64"/>
    <w:rsid w:val="00E05C8C"/>
    <w:rsid w:val="00E07A2F"/>
    <w:rsid w:val="00E13A96"/>
    <w:rsid w:val="00E25133"/>
    <w:rsid w:val="00E25AD9"/>
    <w:rsid w:val="00E56D1B"/>
    <w:rsid w:val="00E71045"/>
    <w:rsid w:val="00E718AF"/>
    <w:rsid w:val="00E77DBC"/>
    <w:rsid w:val="00E83EBA"/>
    <w:rsid w:val="00E845AE"/>
    <w:rsid w:val="00E87DD6"/>
    <w:rsid w:val="00E91329"/>
    <w:rsid w:val="00E95206"/>
    <w:rsid w:val="00EA493F"/>
    <w:rsid w:val="00EB0380"/>
    <w:rsid w:val="00EC1E3F"/>
    <w:rsid w:val="00EC419B"/>
    <w:rsid w:val="00EC77F2"/>
    <w:rsid w:val="00ED376F"/>
    <w:rsid w:val="00EE0785"/>
    <w:rsid w:val="00EF45D4"/>
    <w:rsid w:val="00F0755A"/>
    <w:rsid w:val="00F256AB"/>
    <w:rsid w:val="00F43EAC"/>
    <w:rsid w:val="00F4415C"/>
    <w:rsid w:val="00F520AE"/>
    <w:rsid w:val="00F538DB"/>
    <w:rsid w:val="00F57756"/>
    <w:rsid w:val="00F61FDA"/>
    <w:rsid w:val="00F7308E"/>
    <w:rsid w:val="00FB554C"/>
    <w:rsid w:val="00FF2C86"/>
    <w:rsid w:val="03A204E6"/>
    <w:rsid w:val="044C0AC4"/>
    <w:rsid w:val="0E7B0959"/>
    <w:rsid w:val="0FC60A73"/>
    <w:rsid w:val="108F6D6F"/>
    <w:rsid w:val="15EB2603"/>
    <w:rsid w:val="1CF80827"/>
    <w:rsid w:val="1F025BB6"/>
    <w:rsid w:val="206478A7"/>
    <w:rsid w:val="208D10A0"/>
    <w:rsid w:val="20945BD0"/>
    <w:rsid w:val="26CB7593"/>
    <w:rsid w:val="2CF42EA7"/>
    <w:rsid w:val="2D2E12F9"/>
    <w:rsid w:val="2FE348AE"/>
    <w:rsid w:val="34257C99"/>
    <w:rsid w:val="35F35D69"/>
    <w:rsid w:val="3BA1383C"/>
    <w:rsid w:val="3E650776"/>
    <w:rsid w:val="444A0174"/>
    <w:rsid w:val="45931AF3"/>
    <w:rsid w:val="496B03C7"/>
    <w:rsid w:val="4B210F07"/>
    <w:rsid w:val="4BA31A08"/>
    <w:rsid w:val="4E17493E"/>
    <w:rsid w:val="50292A52"/>
    <w:rsid w:val="5C962B45"/>
    <w:rsid w:val="5E7151A9"/>
    <w:rsid w:val="5EA92707"/>
    <w:rsid w:val="5FAD31A8"/>
    <w:rsid w:val="60273576"/>
    <w:rsid w:val="637B1B01"/>
    <w:rsid w:val="67411E02"/>
    <w:rsid w:val="6E2A785F"/>
    <w:rsid w:val="756C3427"/>
    <w:rsid w:val="75F776A8"/>
    <w:rsid w:val="77F0276B"/>
    <w:rsid w:val="7BED7F33"/>
    <w:rsid w:val="7C0246CD"/>
    <w:rsid w:val="7FBC79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9"/>
    <w:pPr>
      <w:keepNext/>
      <w:outlineLvl w:val="0"/>
    </w:pPr>
    <w:rPr>
      <w:sz w:val="30"/>
    </w:rPr>
  </w:style>
  <w:style w:type="character" w:default="1" w:styleId="12">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3">
    <w:name w:val="table of authorities"/>
    <w:basedOn w:val="1"/>
    <w:next w:val="1"/>
    <w:qFormat/>
    <w:uiPriority w:val="99"/>
    <w:pPr>
      <w:ind w:left="420" w:leftChars="200"/>
    </w:pPr>
    <w:rPr>
      <w:szCs w:val="21"/>
    </w:rPr>
  </w:style>
  <w:style w:type="paragraph" w:styleId="4">
    <w:name w:val="Body Text"/>
    <w:basedOn w:val="1"/>
    <w:link w:val="20"/>
    <w:qFormat/>
    <w:uiPriority w:val="99"/>
    <w:rPr>
      <w:rFonts w:eastAsia="华文中宋"/>
      <w:b/>
      <w:bCs/>
      <w:sz w:val="44"/>
    </w:rPr>
  </w:style>
  <w:style w:type="paragraph" w:styleId="5">
    <w:name w:val="Body Text Indent"/>
    <w:basedOn w:val="1"/>
    <w:link w:val="16"/>
    <w:qFormat/>
    <w:uiPriority w:val="99"/>
    <w:pPr>
      <w:spacing w:after="120"/>
      <w:ind w:left="420" w:leftChars="200"/>
    </w:pPr>
  </w:style>
  <w:style w:type="paragraph" w:styleId="6">
    <w:name w:val="Date"/>
    <w:basedOn w:val="1"/>
    <w:next w:val="1"/>
    <w:link w:val="21"/>
    <w:uiPriority w:val="99"/>
    <w:pPr>
      <w:ind w:left="100" w:leftChars="2500"/>
    </w:pPr>
  </w:style>
  <w:style w:type="paragraph" w:styleId="7">
    <w:name w:val="Body Text Indent 2"/>
    <w:basedOn w:val="1"/>
    <w:link w:val="17"/>
    <w:qFormat/>
    <w:uiPriority w:val="99"/>
    <w:pPr>
      <w:spacing w:after="120" w:line="480" w:lineRule="auto"/>
      <w:ind w:left="420" w:leftChars="200"/>
    </w:pPr>
  </w:style>
  <w:style w:type="paragraph" w:styleId="8">
    <w:name w:val="Balloon Text"/>
    <w:basedOn w:val="1"/>
    <w:link w:val="22"/>
    <w:semiHidden/>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kern w:val="0"/>
      <w:sz w:val="24"/>
      <w:szCs w:val="20"/>
    </w:rPr>
  </w:style>
  <w:style w:type="character" w:styleId="13">
    <w:name w:val="page number"/>
    <w:basedOn w:val="12"/>
    <w:qFormat/>
    <w:uiPriority w:val="99"/>
    <w:rPr>
      <w:rFonts w:cs="Times New Roman"/>
    </w:rPr>
  </w:style>
  <w:style w:type="character" w:customStyle="1" w:styleId="15">
    <w:name w:val="标题 1 Char"/>
    <w:basedOn w:val="12"/>
    <w:link w:val="2"/>
    <w:qFormat/>
    <w:locked/>
    <w:uiPriority w:val="99"/>
    <w:rPr>
      <w:rFonts w:cs="Times New Roman"/>
      <w:b/>
      <w:bCs/>
      <w:kern w:val="44"/>
      <w:sz w:val="44"/>
      <w:szCs w:val="44"/>
    </w:rPr>
  </w:style>
  <w:style w:type="character" w:customStyle="1" w:styleId="16">
    <w:name w:val="正文文本缩进 Char"/>
    <w:basedOn w:val="12"/>
    <w:link w:val="5"/>
    <w:semiHidden/>
    <w:qFormat/>
    <w:locked/>
    <w:uiPriority w:val="99"/>
    <w:rPr>
      <w:rFonts w:cs="Times New Roman"/>
      <w:sz w:val="24"/>
      <w:szCs w:val="24"/>
    </w:rPr>
  </w:style>
  <w:style w:type="character" w:customStyle="1" w:styleId="17">
    <w:name w:val="正文文本缩进 2 Char"/>
    <w:basedOn w:val="12"/>
    <w:link w:val="7"/>
    <w:semiHidden/>
    <w:qFormat/>
    <w:locked/>
    <w:uiPriority w:val="99"/>
    <w:rPr>
      <w:rFonts w:cs="Times New Roman"/>
      <w:sz w:val="24"/>
      <w:szCs w:val="24"/>
    </w:rPr>
  </w:style>
  <w:style w:type="character" w:customStyle="1" w:styleId="18">
    <w:name w:val="页脚 Char"/>
    <w:basedOn w:val="12"/>
    <w:link w:val="9"/>
    <w:semiHidden/>
    <w:qFormat/>
    <w:locked/>
    <w:uiPriority w:val="99"/>
    <w:rPr>
      <w:rFonts w:cs="Times New Roman"/>
      <w:sz w:val="18"/>
      <w:szCs w:val="18"/>
    </w:rPr>
  </w:style>
  <w:style w:type="character" w:customStyle="1" w:styleId="19">
    <w:name w:val="页眉 Char"/>
    <w:basedOn w:val="12"/>
    <w:link w:val="10"/>
    <w:semiHidden/>
    <w:qFormat/>
    <w:locked/>
    <w:uiPriority w:val="99"/>
    <w:rPr>
      <w:rFonts w:cs="Times New Roman"/>
      <w:sz w:val="18"/>
      <w:szCs w:val="18"/>
    </w:rPr>
  </w:style>
  <w:style w:type="character" w:customStyle="1" w:styleId="20">
    <w:name w:val="正文文本 Char"/>
    <w:basedOn w:val="12"/>
    <w:link w:val="4"/>
    <w:semiHidden/>
    <w:qFormat/>
    <w:locked/>
    <w:uiPriority w:val="99"/>
    <w:rPr>
      <w:rFonts w:cs="Times New Roman"/>
      <w:sz w:val="24"/>
      <w:szCs w:val="24"/>
    </w:rPr>
  </w:style>
  <w:style w:type="character" w:customStyle="1" w:styleId="21">
    <w:name w:val="日期 Char"/>
    <w:basedOn w:val="12"/>
    <w:link w:val="6"/>
    <w:semiHidden/>
    <w:qFormat/>
    <w:locked/>
    <w:uiPriority w:val="99"/>
    <w:rPr>
      <w:rFonts w:cs="Times New Roman"/>
      <w:sz w:val="24"/>
      <w:szCs w:val="24"/>
    </w:rPr>
  </w:style>
  <w:style w:type="character" w:customStyle="1" w:styleId="22">
    <w:name w:val="批注框文本 Char"/>
    <w:basedOn w:val="12"/>
    <w:link w:val="8"/>
    <w:semiHidden/>
    <w:qFormat/>
    <w:locked/>
    <w:uiPriority w:val="99"/>
    <w:rPr>
      <w:rFonts w:cs="Times New Roman"/>
      <w:sz w:val="2"/>
    </w:rPr>
  </w:style>
  <w:style w:type="paragraph" w:customStyle="1" w:styleId="23">
    <w:name w:val="Normal (Web)1"/>
    <w:basedOn w:val="1"/>
    <w:qFormat/>
    <w:uiPriority w:val="99"/>
    <w:pPr>
      <w:widowControl/>
      <w:spacing w:beforeAutospacing="1" w:afterAutospacing="1"/>
      <w:jc w:val="left"/>
    </w:pPr>
    <w:rPr>
      <w:rFonts w:ascii="宋体" w:hAnsi="宋体" w:cs="宋体"/>
      <w:kern w:val="0"/>
      <w:sz w:val="24"/>
    </w:rPr>
  </w:style>
  <w:style w:type="paragraph" w:customStyle="1" w:styleId="24">
    <w:name w:val="pa-2"/>
    <w:basedOn w:val="1"/>
    <w:qFormat/>
    <w:uiPriority w:val="99"/>
    <w:pPr>
      <w:widowControl/>
      <w:spacing w:before="100" w:beforeAutospacing="1" w:after="100" w:afterAutospacing="1"/>
      <w:jc w:val="left"/>
    </w:pPr>
    <w:rPr>
      <w:rFonts w:ascii="宋体" w:hAnsi="宋体" w:cs="宋体"/>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10</Pages>
  <Words>742</Words>
  <Characters>4232</Characters>
  <Lines>35</Lines>
  <Paragraphs>9</Paragraphs>
  <ScaleCrop>false</ScaleCrop>
  <LinksUpToDate>false</LinksUpToDate>
  <CharactersWithSpaces>4965</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2019-07-08T01:03:00Z</dcterms:created>
  <dc:creator>admin;李云林</dc:creator>
  <cp:lastModifiedBy>Administrator</cp:lastModifiedBy>
  <cp:lastPrinted>2019-07-08T02:41:00Z</cp:lastPrinted>
  <dcterms:modified xsi:type="dcterms:W3CDTF">2019-07-09T03:21:49Z</dcterms:modified>
  <dc:title>州人常（2019）7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