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hAnsi="仿宋" w:eastAsia="仿宋_GB2312"/>
          <w:sz w:val="32"/>
          <w:szCs w:val="32"/>
        </w:rPr>
      </w:pPr>
    </w:p>
    <w:p>
      <w:pPr>
        <w:spacing w:line="560" w:lineRule="exact"/>
        <w:jc w:val="center"/>
        <w:rPr>
          <w:rFonts w:ascii="方正小标宋简体" w:hAnsi="黑体" w:eastAsia="方正小标宋简体"/>
          <w:kern w:val="0"/>
          <w:sz w:val="44"/>
          <w:szCs w:val="20"/>
        </w:rPr>
      </w:pPr>
      <w:r>
        <w:rPr>
          <w:rFonts w:hint="eastAsia" w:ascii="方正小标宋简体" w:hAnsi="黑体" w:eastAsia="方正小标宋简体"/>
          <w:kern w:val="0"/>
          <w:sz w:val="44"/>
          <w:szCs w:val="20"/>
        </w:rPr>
        <w:t>关于报请批准</w:t>
      </w:r>
    </w:p>
    <w:p>
      <w:pPr>
        <w:spacing w:line="560" w:lineRule="exact"/>
        <w:jc w:val="center"/>
        <w:rPr>
          <w:rFonts w:ascii="方正小标宋简体" w:hAnsi="黑体" w:eastAsia="方正小标宋简体"/>
          <w:kern w:val="0"/>
          <w:sz w:val="44"/>
          <w:szCs w:val="20"/>
        </w:rPr>
      </w:pPr>
      <w:r>
        <w:rPr>
          <w:rFonts w:hint="eastAsia" w:ascii="方正小标宋简体" w:hAnsi="黑体" w:eastAsia="方正小标宋简体"/>
          <w:kern w:val="0"/>
          <w:sz w:val="44"/>
          <w:szCs w:val="20"/>
        </w:rPr>
        <w:t>《贵阳市房屋使用安全管理条例》的报告</w:t>
      </w:r>
    </w:p>
    <w:p>
      <w:pPr>
        <w:spacing w:line="560" w:lineRule="exact"/>
        <w:jc w:val="center"/>
        <w:rPr>
          <w:rFonts w:ascii="仿宋_GB2312" w:hAnsi="仿宋_GB2312" w:eastAsia="仿宋_GB2312"/>
          <w:kern w:val="0"/>
          <w:sz w:val="44"/>
          <w:szCs w:val="20"/>
        </w:rPr>
      </w:pPr>
    </w:p>
    <w:p>
      <w:pPr>
        <w:spacing w:line="560" w:lineRule="exact"/>
        <w:ind w:firstLine="320" w:firstLineChars="100"/>
        <w:jc w:val="left"/>
        <w:rPr>
          <w:rFonts w:ascii="仿宋_GB2312" w:hAnsi="仿宋_GB2312" w:eastAsia="仿宋_GB2312"/>
          <w:kern w:val="0"/>
          <w:sz w:val="32"/>
          <w:szCs w:val="20"/>
        </w:rPr>
      </w:pPr>
      <w:r>
        <w:rPr>
          <w:rFonts w:hint="eastAsia" w:ascii="仿宋_GB2312" w:hAnsi="仿宋_GB2312" w:eastAsia="仿宋_GB2312"/>
          <w:kern w:val="0"/>
          <w:sz w:val="32"/>
          <w:szCs w:val="20"/>
        </w:rPr>
        <w:t>贵州省人大常委会：</w:t>
      </w:r>
    </w:p>
    <w:p>
      <w:pPr>
        <w:spacing w:line="560" w:lineRule="exact"/>
        <w:ind w:left="319" w:leftChars="152" w:right="281" w:rightChars="134" w:firstLine="640" w:firstLineChars="200"/>
        <w:rPr>
          <w:rFonts w:ascii="仿宋_GB2312" w:hAnsi="仿宋_GB2312" w:eastAsia="仿宋_GB2312"/>
          <w:kern w:val="0"/>
          <w:sz w:val="32"/>
          <w:szCs w:val="20"/>
        </w:rPr>
      </w:pPr>
      <w:r>
        <w:rPr>
          <w:rFonts w:hint="eastAsia" w:ascii="仿宋_GB2312" w:hAnsi="仿宋_GB2312" w:eastAsia="仿宋_GB2312"/>
          <w:kern w:val="0"/>
          <w:sz w:val="32"/>
          <w:szCs w:val="20"/>
        </w:rPr>
        <w:t>《贵阳市房屋使用安全管理条例》经2019年8月30日贵阳市第十四届人民代表大会常务委员会第二十三次会议通过修订。根据《中华人民共和国立法法》第七十二条第二款的规定，现报请批准。</w:t>
      </w:r>
    </w:p>
    <w:p>
      <w:pPr>
        <w:spacing w:line="560" w:lineRule="exact"/>
        <w:ind w:firstLine="630"/>
        <w:jc w:val="right"/>
        <w:rPr>
          <w:rFonts w:ascii="仿宋_GB2312" w:hAnsi="仿宋_GB2312" w:eastAsia="仿宋_GB2312"/>
          <w:kern w:val="0"/>
          <w:sz w:val="32"/>
          <w:szCs w:val="20"/>
        </w:rPr>
      </w:pPr>
    </w:p>
    <w:p>
      <w:pPr>
        <w:spacing w:line="560" w:lineRule="exact"/>
        <w:ind w:firstLine="630"/>
        <w:jc w:val="right"/>
        <w:rPr>
          <w:rFonts w:ascii="仿宋_GB2312" w:hAnsi="仿宋_GB2312" w:eastAsia="仿宋_GB2312"/>
          <w:kern w:val="0"/>
          <w:sz w:val="32"/>
          <w:szCs w:val="20"/>
        </w:rPr>
      </w:pPr>
    </w:p>
    <w:p>
      <w:pPr>
        <w:spacing w:line="560" w:lineRule="exact"/>
        <w:ind w:right="480" w:firstLine="630"/>
        <w:jc w:val="right"/>
        <w:rPr>
          <w:rFonts w:ascii="仿宋_GB2312" w:hAnsi="仿宋_GB2312" w:eastAsia="仿宋_GB2312"/>
          <w:kern w:val="0"/>
          <w:sz w:val="32"/>
          <w:szCs w:val="20"/>
        </w:rPr>
      </w:pPr>
      <w:r>
        <w:rPr>
          <w:rFonts w:hint="eastAsia" w:ascii="仿宋_GB2312" w:hAnsi="仿宋_GB2312" w:eastAsia="仿宋_GB2312"/>
          <w:kern w:val="0"/>
          <w:sz w:val="32"/>
          <w:szCs w:val="20"/>
        </w:rPr>
        <w:t xml:space="preserve">贵阳市人民代表大会常务委员会    </w:t>
      </w:r>
    </w:p>
    <w:p>
      <w:pPr>
        <w:spacing w:line="560" w:lineRule="exact"/>
        <w:ind w:firstLine="4480" w:firstLineChars="1400"/>
        <w:rPr>
          <w:rFonts w:ascii="仿宋_GB2312" w:hAnsi="仿宋_GB2312" w:eastAsia="仿宋_GB2312"/>
          <w:kern w:val="0"/>
          <w:sz w:val="32"/>
          <w:szCs w:val="20"/>
        </w:rPr>
      </w:pPr>
      <w:r>
        <w:rPr>
          <w:rFonts w:hint="eastAsia" w:ascii="仿宋_GB2312" w:hAnsi="仿宋_GB2312" w:eastAsia="仿宋_GB2312"/>
          <w:kern w:val="0"/>
          <w:sz w:val="32"/>
          <w:szCs w:val="20"/>
        </w:rPr>
        <w:t xml:space="preserve">2019年9月10日     </w:t>
      </w:r>
    </w:p>
    <w:p>
      <w:pPr>
        <w:spacing w:line="560" w:lineRule="exact"/>
        <w:jc w:val="center"/>
        <w:rPr>
          <w:rFonts w:ascii="仿宋_GB2312" w:hAnsi="仿宋_GB2312" w:eastAsia="仿宋_GB2312"/>
          <w:kern w:val="0"/>
          <w:sz w:val="32"/>
          <w:szCs w:val="20"/>
        </w:rPr>
      </w:pPr>
      <w:r>
        <w:rPr>
          <w:rFonts w:ascii="仿宋_GB2312" w:hAnsi="仿宋_GB2312" w:eastAsia="仿宋_GB2312"/>
          <w:kern w:val="0"/>
          <w:sz w:val="32"/>
          <w:szCs w:val="20"/>
        </w:rPr>
        <w:br w:type="column"/>
      </w:r>
    </w:p>
    <w:p>
      <w:pPr>
        <w:spacing w:line="560" w:lineRule="exact"/>
        <w:jc w:val="center"/>
        <w:rPr>
          <w:rFonts w:ascii="方正小标宋简体" w:hAnsi="黑体" w:eastAsia="方正小标宋简体" w:cs="宋体"/>
          <w:sz w:val="44"/>
          <w:szCs w:val="44"/>
        </w:rPr>
      </w:pPr>
      <w:r>
        <w:rPr>
          <w:rFonts w:hint="eastAsia" w:ascii="方正小标宋简体" w:hAnsi="黑体" w:eastAsia="方正小标宋简体" w:cs="宋体"/>
          <w:sz w:val="44"/>
          <w:szCs w:val="44"/>
        </w:rPr>
        <w:t>贵阳市房屋使用安全管理条例</w:t>
      </w:r>
    </w:p>
    <w:p>
      <w:pPr>
        <w:spacing w:line="560" w:lineRule="exact"/>
        <w:jc w:val="center"/>
        <w:rPr>
          <w:rFonts w:ascii="楷体_GB2312" w:hAnsi="仿宋" w:eastAsia="楷体_GB2312"/>
          <w:szCs w:val="21"/>
          <w:u w:color="000000"/>
        </w:rPr>
      </w:pPr>
    </w:p>
    <w:p>
      <w:pPr>
        <w:spacing w:line="560" w:lineRule="exact"/>
        <w:ind w:firstLine="640" w:firstLineChars="200"/>
        <w:jc w:val="left"/>
        <w:rPr>
          <w:rFonts w:ascii="楷体_GB2312" w:hAnsi="仿宋" w:eastAsia="楷体_GB2312"/>
          <w:sz w:val="32"/>
          <w:szCs w:val="32"/>
          <w:u w:color="000000"/>
        </w:rPr>
      </w:pPr>
      <w:r>
        <w:rPr>
          <w:rFonts w:hint="eastAsia" w:ascii="楷体_GB2312" w:hAnsi="仿宋" w:eastAsia="楷体_GB2312"/>
          <w:sz w:val="32"/>
          <w:szCs w:val="32"/>
          <w:u w:color="000000"/>
        </w:rPr>
        <w:t>（2011年10月31日贵阳市第十二届人民代表大会常务委员会第三十八次会议通过  2012年1月5日贵州省第十一届人民代表大会常务委员会第二十六次会议批准  根据2013年3月30日贵州省第十二届人民代表大会常务委员会第一次会议批准的《贵阳市人民代表大会常务委员会关于修改部分地方性法规的决定》第一次修正  根据2017年6月2日贵州省第十二届人民代表大会常务委员会第二十八次会议批准的《贵阳市人民代表大会常务委员会关于修改部分地方性法规的决定》第二次修正  2019年8月30日贵阳市第十四届人民代表大会常务委员会第二十三次会议修订）</w:t>
      </w:r>
    </w:p>
    <w:p>
      <w:pPr>
        <w:spacing w:line="560" w:lineRule="exact"/>
        <w:outlineLvl w:val="0"/>
        <w:rPr>
          <w:rFonts w:ascii="仿宋_GB2312" w:hAnsi="仿宋_GB2312" w:eastAsia="仿宋_GB2312" w:cs="仿宋_GB2312"/>
          <w:sz w:val="32"/>
          <w:szCs w:val="32"/>
        </w:rPr>
      </w:pPr>
    </w:p>
    <w:p>
      <w:pPr>
        <w:spacing w:line="560" w:lineRule="exact"/>
        <w:jc w:val="center"/>
        <w:outlineLvl w:val="0"/>
        <w:rPr>
          <w:rFonts w:ascii="仿宋_GB2312" w:hAnsi="仿宋_GB2312" w:eastAsia="仿宋_GB2312" w:cs="仿宋_GB2312"/>
          <w:sz w:val="32"/>
          <w:szCs w:val="32"/>
        </w:rPr>
      </w:pPr>
      <w:r>
        <w:rPr>
          <w:rFonts w:hint="eastAsia" w:ascii="黑体" w:hAnsi="黑体" w:eastAsia="黑体" w:cs="黑体"/>
          <w:sz w:val="32"/>
          <w:szCs w:val="32"/>
        </w:rPr>
        <w:t>第一章  总则</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为了加强房屋使用安全管理，保障公共安全和自然人、法人、非法人组织的人身财产安全，根据有关法律、法规的规定，结合本市实际，制定本条例。</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本条例适用于本市行政区域内依法建造并已经交付</w:t>
      </w:r>
      <w:r>
        <w:rPr>
          <w:rFonts w:hint="eastAsia" w:ascii="仿宋_GB2312" w:hAnsi="仿宋_GB2312" w:eastAsia="仿宋_GB2312" w:cs="仿宋_GB2312"/>
          <w:bCs/>
          <w:sz w:val="32"/>
          <w:szCs w:val="32"/>
        </w:rPr>
        <w:t>的</w:t>
      </w:r>
      <w:r>
        <w:rPr>
          <w:rFonts w:hint="eastAsia" w:ascii="仿宋_GB2312" w:hAnsi="仿宋_GB2312" w:eastAsia="仿宋_GB2312" w:cs="仿宋_GB2312"/>
          <w:sz w:val="32"/>
          <w:szCs w:val="32"/>
        </w:rPr>
        <w:t>房屋的使用安全管理</w:t>
      </w:r>
      <w:r>
        <w:rPr>
          <w:rFonts w:hint="eastAsia" w:ascii="仿宋_GB2312" w:hAnsi="仿宋_GB2312" w:eastAsia="仿宋_GB2312" w:cs="仿宋_GB2312"/>
          <w:bCs/>
          <w:sz w:val="32"/>
          <w:szCs w:val="32"/>
        </w:rPr>
        <w:t>及其相关</w:t>
      </w:r>
      <w:r>
        <w:rPr>
          <w:rFonts w:hint="eastAsia" w:ascii="仿宋_GB2312" w:hAnsi="仿宋_GB2312" w:eastAsia="仿宋_GB2312" w:cs="仿宋_GB2312"/>
          <w:sz w:val="32"/>
          <w:szCs w:val="32"/>
        </w:rPr>
        <w:t>活动。</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法律、法规对</w:t>
      </w:r>
      <w:r>
        <w:rPr>
          <w:rFonts w:hint="eastAsia" w:ascii="仿宋_GB2312" w:hAnsi="仿宋_GB2312" w:eastAsia="仿宋_GB2312" w:cs="仿宋_GB2312"/>
          <w:bCs/>
          <w:sz w:val="32"/>
          <w:szCs w:val="32"/>
        </w:rPr>
        <w:t>生产用房</w:t>
      </w:r>
      <w:r>
        <w:rPr>
          <w:rFonts w:hint="eastAsia" w:ascii="仿宋_GB2312" w:hAnsi="仿宋_GB2312" w:eastAsia="仿宋_GB2312" w:cs="仿宋_GB2312"/>
          <w:sz w:val="32"/>
          <w:szCs w:val="32"/>
        </w:rPr>
        <w:t>和军事设施</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宗教活动场所、文物保护单位、风景名胜区等范围内的房屋的使用安全管理另有规定的，从其规定。</w:t>
      </w:r>
    </w:p>
    <w:p>
      <w:pPr>
        <w:spacing w:line="560" w:lineRule="exact"/>
        <w:ind w:firstLine="640" w:firstLineChars="200"/>
      </w:pPr>
      <w:r>
        <w:rPr>
          <w:rFonts w:hint="eastAsia" w:ascii="仿宋_GB2312" w:hAnsi="仿宋" w:eastAsia="仿宋_GB2312"/>
          <w:sz w:val="32"/>
          <w:szCs w:val="32"/>
        </w:rPr>
        <w:t>房屋消防、抗震、防雷安全和电梯、供电、供水、供气等设施设备的使用安全管理，依照有关法律、法规的规定执行。</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房屋使用安全管理应当遵循</w:t>
      </w:r>
      <w:r>
        <w:rPr>
          <w:rFonts w:hint="eastAsia" w:ascii="仿宋_GB2312" w:hAnsi="仿宋_GB2312" w:eastAsia="仿宋_GB2312" w:cs="仿宋_GB2312"/>
          <w:bCs/>
          <w:sz w:val="32"/>
          <w:szCs w:val="32"/>
        </w:rPr>
        <w:t>属地管理、</w:t>
      </w:r>
      <w:r>
        <w:rPr>
          <w:rFonts w:hint="eastAsia" w:ascii="仿宋_GB2312" w:hAnsi="仿宋_GB2312" w:eastAsia="仿宋_GB2312" w:cs="仿宋_GB2312"/>
          <w:sz w:val="32"/>
          <w:szCs w:val="32"/>
        </w:rPr>
        <w:t>预防为主、防治结合、确保安全的原则。</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黑体" w:hAnsi="黑体" w:eastAsia="黑体" w:cs="黑体"/>
          <w:b/>
          <w:bCs/>
          <w:sz w:val="32"/>
          <w:szCs w:val="32"/>
        </w:rPr>
        <w:t xml:space="preserve"> </w:t>
      </w:r>
      <w:r>
        <w:rPr>
          <w:rFonts w:hint="eastAsia" w:ascii="仿宋_GB2312" w:hAnsi="仿宋_GB2312" w:eastAsia="仿宋_GB2312" w:cs="仿宋_GB2312"/>
          <w:sz w:val="32"/>
          <w:szCs w:val="32"/>
        </w:rPr>
        <w:t>县级以上人民政府组织领导本辖区房屋使用安全管理工作，建立统筹管理、分级负责、综合协调、社会参与的房屋使用安全管理体系，加强安全管理执法力量，将管理经费</w:t>
      </w:r>
      <w:r>
        <w:rPr>
          <w:rFonts w:hint="eastAsia" w:ascii="仿宋_GB2312" w:hAnsi="仿宋_GB2312" w:eastAsia="仿宋_GB2312" w:cs="仿宋_GB2312"/>
          <w:bCs/>
          <w:sz w:val="32"/>
          <w:szCs w:val="32"/>
        </w:rPr>
        <w:t>纳入同级财政预算</w:t>
      </w:r>
      <w:r>
        <w:rPr>
          <w:rFonts w:hint="eastAsia" w:ascii="仿宋_GB2312" w:hAnsi="仿宋_GB2312" w:eastAsia="仿宋_GB2312" w:cs="仿宋_GB2312"/>
          <w:sz w:val="32"/>
          <w:szCs w:val="32"/>
        </w:rPr>
        <w:t>。</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住房城乡建设主管部门应当按照职责统筹本辖区房屋使用安全管理工作，其所属的房屋使用安全管理机构具体负责日常管理工作。</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bCs/>
          <w:sz w:val="32"/>
          <w:szCs w:val="32"/>
        </w:rPr>
        <w:t>自然资源和规划、综合行政执法、公安、市场监管、应急、教育、卫生健康、文化和旅游、体育、交通、商</w:t>
      </w:r>
      <w:r>
        <w:rPr>
          <w:rFonts w:hint="eastAsia" w:ascii="仿宋_GB2312" w:hAnsi="仿宋_GB2312" w:eastAsia="仿宋_GB2312" w:cs="仿宋_GB2312"/>
          <w:sz w:val="32"/>
          <w:szCs w:val="32"/>
        </w:rPr>
        <w:t>务、</w:t>
      </w:r>
      <w:r>
        <w:rPr>
          <w:rFonts w:hint="eastAsia" w:ascii="仿宋_GB2312" w:hAnsi="仿宋_GB2312" w:eastAsia="仿宋_GB2312" w:cs="仿宋_GB2312"/>
          <w:bCs/>
          <w:sz w:val="32"/>
          <w:szCs w:val="32"/>
        </w:rPr>
        <w:t>国资、</w:t>
      </w:r>
      <w:r>
        <w:rPr>
          <w:rFonts w:hint="eastAsia" w:ascii="仿宋_GB2312" w:hAnsi="仿宋_GB2312" w:eastAsia="仿宋_GB2312" w:cs="仿宋_GB2312"/>
          <w:sz w:val="32"/>
          <w:szCs w:val="32"/>
        </w:rPr>
        <w:t>民政、财政等有关主管部门和乡（镇）人民政府应当按照各自职责和本条例规定，做好房屋使用安全管理的相关工作。</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rPr>
        <w:t xml:space="preserve">      </w:t>
      </w:r>
      <w:r>
        <w:rPr>
          <w:rFonts w:hint="eastAsia" w:ascii="仿宋_GB2312" w:hAnsi="仿宋_GB2312" w:eastAsia="仿宋_GB2312" w:cs="仿宋_GB2312"/>
          <w:bCs/>
          <w:sz w:val="32"/>
          <w:szCs w:val="32"/>
        </w:rPr>
        <w:t>开发区（园区）管理机构应当按照县级以上人民政府规定的职责，做好区域内房屋使用安全管理工作。</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社区服务管理机构应当配合做好房屋使用安全管理的相关工作。</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b/>
          <w:bCs/>
          <w:sz w:val="32"/>
          <w:szCs w:val="32"/>
        </w:rPr>
        <w:t xml:space="preserve">  </w:t>
      </w:r>
      <w:r>
        <w:rPr>
          <w:rFonts w:hint="eastAsia" w:ascii="仿宋_GB2312" w:hAnsi="仿宋_GB2312" w:eastAsia="仿宋_GB2312" w:cs="仿宋_GB2312"/>
          <w:sz w:val="32"/>
          <w:szCs w:val="32"/>
        </w:rPr>
        <w:t>住房城乡建设主管部门应当加强房屋使用安全知识宣传，及时制止危害房屋使用安全的行为，需要实施行政处罚的，移送综合行政执法部门依法查处。</w:t>
      </w:r>
    </w:p>
    <w:p>
      <w:pPr>
        <w:spacing w:line="560" w:lineRule="exact"/>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sz w:val="32"/>
          <w:szCs w:val="32"/>
        </w:rPr>
        <w:t>住房城乡建设主管部门应当</w:t>
      </w:r>
      <w:r>
        <w:rPr>
          <w:rFonts w:hint="eastAsia" w:ascii="仿宋_GB2312" w:hAnsi="仿宋_GB2312" w:eastAsia="仿宋_GB2312" w:cs="仿宋_GB2312"/>
          <w:bCs/>
          <w:sz w:val="32"/>
          <w:szCs w:val="32"/>
        </w:rPr>
        <w:t>建立健全举报、投诉机制，公开受理方式，及时将处理结果告知举报人、投诉人。</w:t>
      </w:r>
    </w:p>
    <w:p>
      <w:pPr>
        <w:spacing w:line="560" w:lineRule="exact"/>
        <w:ind w:firstLine="640" w:firstLineChars="200"/>
        <w:outlineLvl w:val="0"/>
        <w:rPr>
          <w:rFonts w:ascii="仿宋_GB2312" w:hAnsi="仿宋_GB2312" w:eastAsia="仿宋_GB2312" w:cs="仿宋_GB2312"/>
          <w:sz w:val="32"/>
          <w:szCs w:val="32"/>
        </w:rPr>
      </w:pPr>
    </w:p>
    <w:p>
      <w:pPr>
        <w:spacing w:line="560" w:lineRule="exact"/>
        <w:jc w:val="center"/>
        <w:outlineLvl w:val="0"/>
        <w:rPr>
          <w:rFonts w:ascii="仿宋_GB2312" w:hAnsi="仿宋_GB2312" w:eastAsia="仿宋_GB2312" w:cs="仿宋_GB2312"/>
          <w:sz w:val="32"/>
          <w:szCs w:val="32"/>
        </w:rPr>
      </w:pPr>
      <w:r>
        <w:rPr>
          <w:rFonts w:hint="eastAsia" w:ascii="黑体" w:hAnsi="黑体" w:eastAsia="黑体" w:cs="黑体"/>
          <w:sz w:val="32"/>
          <w:szCs w:val="32"/>
        </w:rPr>
        <w:t>第二章  房屋使用安全管理</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房屋所有权人为房屋使用安全责任人。房屋属于国家或者集体所有的，其管理</w:t>
      </w:r>
      <w:r>
        <w:rPr>
          <w:rFonts w:hint="eastAsia" w:ascii="仿宋_GB2312" w:hAnsi="仿宋_GB2312" w:eastAsia="仿宋_GB2312" w:cs="仿宋_GB2312"/>
          <w:bCs/>
          <w:sz w:val="32"/>
          <w:szCs w:val="32"/>
        </w:rPr>
        <w:t>人</w:t>
      </w:r>
      <w:r>
        <w:rPr>
          <w:rFonts w:hint="eastAsia" w:ascii="仿宋_GB2312" w:hAnsi="仿宋_GB2312" w:eastAsia="仿宋_GB2312" w:cs="仿宋_GB2312"/>
          <w:sz w:val="32"/>
          <w:szCs w:val="32"/>
        </w:rPr>
        <w:t>为房屋使用安全责任人。房屋所有权人、管理人可以与使用人就房屋使用安全有关事项进行约定。</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房屋所有权人下落不明、</w:t>
      </w:r>
      <w:r>
        <w:rPr>
          <w:rFonts w:hint="eastAsia" w:ascii="仿宋_GB2312" w:hAnsi="仿宋_GB2312" w:eastAsia="仿宋_GB2312" w:cs="仿宋_GB2312"/>
          <w:bCs/>
          <w:sz w:val="32"/>
          <w:szCs w:val="32"/>
        </w:rPr>
        <w:t>房屋</w:t>
      </w:r>
      <w:r>
        <w:rPr>
          <w:rFonts w:hint="eastAsia" w:ascii="仿宋_GB2312" w:hAnsi="仿宋_GB2312" w:eastAsia="仿宋_GB2312" w:cs="仿宋_GB2312"/>
          <w:sz w:val="32"/>
          <w:szCs w:val="32"/>
        </w:rPr>
        <w:t>权属不清的，使用人为房屋使用安全责任人</w:t>
      </w:r>
      <w:r>
        <w:rPr>
          <w:rFonts w:hint="eastAsia" w:ascii="仿宋_GB2312" w:hAnsi="仿宋_GB2312" w:eastAsia="仿宋_GB2312" w:cs="仿宋_GB2312"/>
          <w:bCs/>
          <w:sz w:val="32"/>
          <w:szCs w:val="32"/>
        </w:rPr>
        <w:t>；没有使用人的，管理人为房屋使用安全责任人</w:t>
      </w:r>
      <w:r>
        <w:rPr>
          <w:rFonts w:hint="eastAsia" w:ascii="仿宋_GB2312" w:hAnsi="仿宋_GB2312" w:eastAsia="仿宋_GB2312" w:cs="仿宋_GB2312"/>
          <w:sz w:val="32"/>
          <w:szCs w:val="32"/>
        </w:rPr>
        <w:t>。</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房屋使用安全责任人对房屋使用安全承担下列责任：</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（一）按照规划用途和设计要求合理使用房屋，保障房屋的整体性和安全性；</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（二）检查、保养、修缮房屋，及时治理危险房屋，消除安全隐患；</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（三）按照本条例规定委托进行房屋安全鉴定；</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（四）房屋建有建筑幕墙的，按照国家规定进行安全维护；</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（五）配合政府及有关部门组织实施房屋安全隐患排查、危险房屋治理和应急处置；</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（六）采取其他必要措施保障房屋安全。</w:t>
      </w:r>
    </w:p>
    <w:p>
      <w:pPr>
        <w:spacing w:line="560" w:lineRule="exact"/>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房屋共有部分的安全检查、维修养护等管理责任，委托物业服务企业负责的，由物业服务企业按照约定承担；未委托物业服务企业的，由房屋使用安全责任人依法共同承担。</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建设单位在房屋交付使用时，应当向房屋买受人提交房屋质量保证书、房屋使用说明书等，告知买受人房屋的性能指标、保修单位、保修范围与期限等事项。</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建设单位应当按照法律、法规规定和合同约定，承担保修期间房屋质量缺陷的保修和治理责任。因房屋质量问题造成买受人损失的，依法予以赔偿。</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房改房地基基础工程和主体结构工程的保修,由该房屋建设单位参照本条第二款规定执行。</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禁止下列</w:t>
      </w:r>
      <w:r>
        <w:rPr>
          <w:rFonts w:hint="eastAsia" w:ascii="仿宋_GB2312" w:hAnsi="仿宋_GB2312" w:eastAsia="仿宋_GB2312" w:cs="仿宋_GB2312"/>
          <w:bCs/>
          <w:sz w:val="32"/>
          <w:szCs w:val="32"/>
        </w:rPr>
        <w:t>危害</w:t>
      </w:r>
      <w:r>
        <w:rPr>
          <w:rFonts w:hint="eastAsia" w:ascii="仿宋_GB2312" w:hAnsi="仿宋_GB2312" w:eastAsia="仿宋_GB2312" w:cs="仿宋_GB2312"/>
          <w:sz w:val="32"/>
          <w:szCs w:val="32"/>
        </w:rPr>
        <w:t>房屋使用安全的行为：</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（一）损坏或者擅自改变房屋的承重结构、主体结构；</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（二）在屋顶或者屋侧违法搭建建筑物、构筑物；</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（三）将其他房间或者阳台改为卫生间、厨房，或者将卫生间改在下层住户卧室、起居室（厅）和厨房上方；</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（四）降低底层房屋地面标高或者挖掘地下室；</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五</w:t>
      </w:r>
      <w:r>
        <w:rPr>
          <w:rFonts w:hint="eastAsia" w:ascii="仿宋_GB2312" w:hAnsi="仿宋_GB2312" w:eastAsia="仿宋_GB2312" w:cs="仿宋_GB2312"/>
          <w:sz w:val="32"/>
          <w:szCs w:val="32"/>
        </w:rPr>
        <w:t>）在楼板、阳台、露台、屋顶超荷载铺设材料或者堆放物品，在室内增设超荷载分隔墙体；</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六</w:t>
      </w:r>
      <w:r>
        <w:rPr>
          <w:rFonts w:hint="eastAsia" w:ascii="仿宋_GB2312" w:hAnsi="仿宋_GB2312" w:eastAsia="仿宋_GB2312" w:cs="仿宋_GB2312"/>
          <w:sz w:val="32"/>
          <w:szCs w:val="32"/>
        </w:rPr>
        <w:t>）装饰装修影响房屋共有部位使用，危及房屋、毗邻房屋的使用安全；</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七</w:t>
      </w:r>
      <w:r>
        <w:rPr>
          <w:rFonts w:hint="eastAsia" w:ascii="仿宋_GB2312" w:hAnsi="仿宋_GB2312" w:eastAsia="仿宋_GB2312" w:cs="仿宋_GB2312"/>
          <w:sz w:val="32"/>
          <w:szCs w:val="32"/>
        </w:rPr>
        <w:t>）法律、法规规定的其他危害房屋使用安全的行为。</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房屋使用安全管理机构、乡（镇）人民政府、社区服务管理机构、物业服务企业，应当按照职责或者合同约定</w:t>
      </w:r>
      <w:r>
        <w:rPr>
          <w:rFonts w:hint="eastAsia" w:ascii="仿宋_GB2312" w:hAnsi="仿宋_GB2312" w:eastAsia="仿宋_GB2312" w:cs="仿宋_GB2312"/>
          <w:bCs/>
          <w:sz w:val="32"/>
          <w:szCs w:val="32"/>
        </w:rPr>
        <w:t>负责</w:t>
      </w:r>
      <w:r>
        <w:rPr>
          <w:rFonts w:hint="eastAsia" w:ascii="仿宋_GB2312" w:hAnsi="仿宋_GB2312" w:eastAsia="仿宋_GB2312" w:cs="仿宋_GB2312"/>
          <w:sz w:val="32"/>
          <w:szCs w:val="32"/>
        </w:rPr>
        <w:t>本辖区或者物业服务区域房屋使用安全的日常巡查，落实房屋使用安全常态化、网格化管理制度，发现危害房屋使用安全的行为，应当予以劝阻，</w:t>
      </w:r>
      <w:r>
        <w:rPr>
          <w:rFonts w:hint="eastAsia" w:ascii="仿宋_GB2312" w:hAnsi="仿宋_GB2312" w:eastAsia="仿宋_GB2312" w:cs="仿宋_GB2312"/>
          <w:bCs/>
          <w:sz w:val="32"/>
          <w:szCs w:val="32"/>
        </w:rPr>
        <w:t>明示禁止性行为规范和注意事项，</w:t>
      </w:r>
      <w:r>
        <w:rPr>
          <w:rFonts w:hint="eastAsia" w:ascii="仿宋_GB2312" w:hAnsi="仿宋_GB2312" w:eastAsia="仿宋_GB2312" w:cs="仿宋_GB2312"/>
          <w:sz w:val="32"/>
          <w:szCs w:val="32"/>
        </w:rPr>
        <w:t>并及时报告住房城乡建设主管部门。</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教育、卫生</w:t>
      </w:r>
      <w:r>
        <w:rPr>
          <w:rFonts w:hint="eastAsia" w:ascii="仿宋_GB2312" w:hAnsi="仿宋_GB2312" w:eastAsia="仿宋_GB2312" w:cs="仿宋_GB2312"/>
          <w:bCs/>
          <w:sz w:val="32"/>
          <w:szCs w:val="32"/>
        </w:rPr>
        <w:t>健康、文化和旅游</w:t>
      </w:r>
      <w:r>
        <w:rPr>
          <w:rFonts w:hint="eastAsia" w:ascii="仿宋_GB2312" w:hAnsi="仿宋_GB2312" w:eastAsia="仿宋_GB2312" w:cs="仿宋_GB2312"/>
          <w:sz w:val="32"/>
          <w:szCs w:val="32"/>
        </w:rPr>
        <w:t>、体育、交通、商务、民政等主管部门应当</w:t>
      </w:r>
      <w:r>
        <w:rPr>
          <w:rFonts w:hint="eastAsia" w:ascii="仿宋_GB2312" w:hAnsi="仿宋_GB2312" w:eastAsia="仿宋_GB2312" w:cs="仿宋_GB2312"/>
          <w:bCs/>
          <w:sz w:val="32"/>
          <w:szCs w:val="32"/>
        </w:rPr>
        <w:t>遵循管行业</w:t>
      </w:r>
      <w:r>
        <w:rPr>
          <w:rFonts w:hint="eastAsia" w:ascii="仿宋_GB2312" w:hAnsi="仿宋_GB2312" w:eastAsia="仿宋_GB2312" w:cs="仿宋_GB2312"/>
          <w:bCs/>
          <w:color w:val="000000" w:themeColor="text1"/>
          <w:sz w:val="32"/>
          <w:szCs w:val="32"/>
          <w14:textFill>
            <w14:solidFill>
              <w14:schemeClr w14:val="tx1"/>
            </w14:solidFill>
          </w14:textFill>
        </w:rPr>
        <w:t>即应</w:t>
      </w:r>
      <w:r>
        <w:rPr>
          <w:rFonts w:hint="eastAsia" w:ascii="仿宋_GB2312" w:hAnsi="仿宋_GB2312" w:eastAsia="仿宋_GB2312" w:cs="仿宋_GB2312"/>
          <w:bCs/>
          <w:sz w:val="32"/>
          <w:szCs w:val="32"/>
        </w:rPr>
        <w:t>管安全的要求，</w:t>
      </w:r>
      <w:r>
        <w:rPr>
          <w:rFonts w:hint="eastAsia" w:ascii="仿宋_GB2312" w:hAnsi="仿宋_GB2312" w:eastAsia="仿宋_GB2312" w:cs="仿宋_GB2312"/>
          <w:sz w:val="32"/>
          <w:szCs w:val="32"/>
        </w:rPr>
        <w:t>按照职责督促其行业管理范围内人员密集场所的房屋使用安全责任人定期进行房屋安全检查，及时消除安全隐患。</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bCs/>
          <w:sz w:val="32"/>
          <w:szCs w:val="32"/>
        </w:rPr>
        <w:t>前款规定的</w:t>
      </w:r>
      <w:r>
        <w:rPr>
          <w:rFonts w:hint="eastAsia" w:ascii="仿宋_GB2312" w:hAnsi="仿宋_GB2312" w:eastAsia="仿宋_GB2312" w:cs="仿宋_GB2312"/>
          <w:sz w:val="32"/>
          <w:szCs w:val="32"/>
        </w:rPr>
        <w:t>人员密集场所的房屋使用安全责任人，应当按照要求对房屋使用安全进行检查，做好检查记录，建立房屋使用安全档案</w:t>
      </w:r>
      <w:r>
        <w:rPr>
          <w:rFonts w:hint="eastAsia" w:ascii="仿宋_GB2312" w:hAnsi="仿宋_GB2312" w:eastAsia="仿宋_GB2312" w:cs="仿宋_GB2312"/>
          <w:b/>
          <w:sz w:val="32"/>
          <w:szCs w:val="32"/>
        </w:rPr>
        <w:t>。</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住房城乡建设主管部门</w:t>
      </w:r>
      <w:r>
        <w:rPr>
          <w:rFonts w:hint="eastAsia" w:ascii="仿宋_GB2312" w:hAnsi="仿宋_GB2312" w:eastAsia="仿宋_GB2312" w:cs="仿宋_GB2312"/>
          <w:bCs/>
          <w:sz w:val="32"/>
          <w:szCs w:val="32"/>
        </w:rPr>
        <w:t>及房屋安全管理机构应当</w:t>
      </w:r>
      <w:r>
        <w:rPr>
          <w:rFonts w:hint="eastAsia" w:ascii="仿宋_GB2312" w:hAnsi="仿宋_GB2312" w:eastAsia="仿宋_GB2312" w:cs="仿宋_GB2312"/>
          <w:sz w:val="32"/>
          <w:szCs w:val="32"/>
        </w:rPr>
        <w:t>定期对执行检查人员进行培训，加强</w:t>
      </w:r>
      <w:r>
        <w:rPr>
          <w:rFonts w:hint="eastAsia" w:ascii="仿宋_GB2312" w:hAnsi="仿宋_GB2312" w:eastAsia="仿宋_GB2312" w:cs="仿宋_GB2312"/>
          <w:bCs/>
          <w:sz w:val="32"/>
          <w:szCs w:val="32"/>
        </w:rPr>
        <w:t>对房屋使用安全检查</w:t>
      </w:r>
      <w:r>
        <w:rPr>
          <w:rFonts w:hint="eastAsia" w:ascii="仿宋_GB2312" w:hAnsi="仿宋_GB2312" w:eastAsia="仿宋_GB2312" w:cs="仿宋_GB2312"/>
          <w:sz w:val="32"/>
          <w:szCs w:val="32"/>
        </w:rPr>
        <w:t>的指导，并对检查情况进行</w:t>
      </w:r>
      <w:r>
        <w:rPr>
          <w:rFonts w:hint="eastAsia" w:ascii="仿宋_GB2312" w:hAnsi="仿宋_GB2312" w:eastAsia="仿宋_GB2312" w:cs="仿宋_GB2312"/>
          <w:bCs/>
          <w:sz w:val="32"/>
          <w:szCs w:val="32"/>
        </w:rPr>
        <w:t>抽查</w:t>
      </w:r>
      <w:r>
        <w:rPr>
          <w:rFonts w:hint="eastAsia" w:ascii="仿宋_GB2312" w:hAnsi="仿宋_GB2312" w:eastAsia="仿宋_GB2312" w:cs="仿宋_GB2312"/>
          <w:sz w:val="32"/>
          <w:szCs w:val="32"/>
        </w:rPr>
        <w:t>。</w:t>
      </w:r>
    </w:p>
    <w:p>
      <w:pPr>
        <w:spacing w:line="560" w:lineRule="exact"/>
        <w:ind w:firstLine="640" w:firstLineChars="200"/>
        <w:outlineLvl w:val="0"/>
        <w:rPr>
          <w:rFonts w:ascii="仿宋_GB2312" w:hAnsi="仿宋_GB2312" w:eastAsia="仿宋_GB2312" w:cs="仿宋_GB2312"/>
          <w:bCs/>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bCs/>
          <w:sz w:val="32"/>
          <w:szCs w:val="32"/>
        </w:rPr>
        <w:t xml:space="preserve">有下列情形之一的，建设单位应当在施工前对周边房屋完损情况进行调查，保留原始记录；需要进行房屋结构安全影响评估的，由建设单位自行组织设计、施工单位或者委托房屋安全鉴定机构进行房屋结构安全影响评估： </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（一）进行基坑（边坡）开挖深度超过3米（含3米）或虽未超过3米但地质条件和周边环境复杂的，取距基坑（边坡）边缘2.5倍基坑深度（边坡高度）和锚索长度二者大值范围内的房屋；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（二）进行地下隧道、盾构施工的，距洞口边缘2倍埋深范围内的房屋；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（三）进行爆破施工的，爆破安全距离范围内的房屋；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（四）进行地下管线施工、降低地下水位施工的，设计影响范围内的房屋；</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（五）因施工影响周边房屋使用安全的其他情形。</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Cs/>
          <w:sz w:val="32"/>
          <w:szCs w:val="32"/>
        </w:rPr>
        <w:t xml:space="preserve">    施工期间，施工单位应当按照规定采取专项安全防护措施，建设单位委托有资质的单位进行跟踪监测。</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因供水、供电、供气、供热、排水、通信等需要在房屋上施工的，施工单位应当书面告知相关房屋使用安全责任人、物业服务企业。因施工造成房屋损坏的，施工单位应当及时修复，并依法予以赔偿。</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市住房城乡建设主管部门应当建立全市房屋安全管理信息系统，及时记录、更新房屋使用安全相关信息，并与教育、卫生</w:t>
      </w:r>
      <w:r>
        <w:rPr>
          <w:rFonts w:hint="eastAsia" w:ascii="仿宋_GB2312" w:hAnsi="仿宋_GB2312" w:eastAsia="仿宋_GB2312" w:cs="仿宋_GB2312"/>
          <w:bCs/>
          <w:sz w:val="32"/>
          <w:szCs w:val="32"/>
        </w:rPr>
        <w:t>健康、文化和旅游</w:t>
      </w:r>
      <w:r>
        <w:rPr>
          <w:rFonts w:hint="eastAsia" w:ascii="仿宋_GB2312" w:hAnsi="仿宋_GB2312" w:eastAsia="仿宋_GB2312" w:cs="仿宋_GB2312"/>
          <w:sz w:val="32"/>
          <w:szCs w:val="32"/>
        </w:rPr>
        <w:t>、体育、交通、商务、民政等主管部门的信息系统互联互通，实现</w:t>
      </w:r>
      <w:r>
        <w:rPr>
          <w:rFonts w:hint="eastAsia" w:ascii="仿宋_GB2312" w:hAnsi="仿宋_GB2312" w:eastAsia="仿宋_GB2312" w:cs="仿宋_GB2312"/>
          <w:bCs/>
          <w:sz w:val="32"/>
          <w:szCs w:val="32"/>
        </w:rPr>
        <w:t>房屋使用安全</w:t>
      </w:r>
      <w:r>
        <w:rPr>
          <w:rFonts w:hint="eastAsia" w:ascii="仿宋_GB2312" w:hAnsi="仿宋_GB2312" w:eastAsia="仿宋_GB2312" w:cs="仿宋_GB2312"/>
          <w:sz w:val="32"/>
          <w:szCs w:val="32"/>
        </w:rPr>
        <w:t>信息共享。</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住房城乡建设主管部门应当建立房屋使用安全诚信档案，记录房屋使用安全责任人、房屋安全鉴定机构及其相关从业人员的违法、失信行为，纳入统一的信用信息共享平台管理，并向社会公布。</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鼓励建立商业保险、风险资金等相结合的房屋使用安全风险保障机制。</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鼓励保险公司设立与房屋使用安全管理需求相适应的险种。</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各级人民政府、有关</w:t>
      </w:r>
      <w:r>
        <w:rPr>
          <w:rFonts w:hint="eastAsia" w:ascii="仿宋_GB2312" w:hAnsi="仿宋_GB2312" w:eastAsia="仿宋_GB2312" w:cs="仿宋_GB2312"/>
          <w:bCs/>
          <w:sz w:val="32"/>
          <w:szCs w:val="32"/>
        </w:rPr>
        <w:t>主管</w:t>
      </w:r>
      <w:r>
        <w:rPr>
          <w:rFonts w:hint="eastAsia" w:ascii="仿宋_GB2312" w:hAnsi="仿宋_GB2312" w:eastAsia="仿宋_GB2312" w:cs="仿宋_GB2312"/>
          <w:sz w:val="32"/>
          <w:szCs w:val="32"/>
        </w:rPr>
        <w:t>部门和房屋使用安全责任人，可以通过购买保险服务的方式，与保险公司合作开展房屋安全隐患定期排查、动态监测、重点巡查等工作。</w:t>
      </w:r>
    </w:p>
    <w:p>
      <w:pPr>
        <w:spacing w:line="560" w:lineRule="exact"/>
        <w:ind w:firstLine="640" w:firstLineChars="200"/>
        <w:outlineLvl w:val="0"/>
        <w:rPr>
          <w:rFonts w:ascii="仿宋_GB2312" w:hAnsi="仿宋_GB2312" w:eastAsia="仿宋_GB2312" w:cs="仿宋_GB2312"/>
          <w:sz w:val="32"/>
          <w:szCs w:val="32"/>
        </w:rPr>
      </w:pPr>
    </w:p>
    <w:p>
      <w:pPr>
        <w:spacing w:line="560" w:lineRule="exact"/>
        <w:jc w:val="center"/>
        <w:outlineLvl w:val="0"/>
        <w:rPr>
          <w:rFonts w:ascii="黑体" w:hAnsi="黑体" w:eastAsia="黑体" w:cs="黑体"/>
          <w:b/>
          <w:bCs/>
          <w:sz w:val="32"/>
          <w:szCs w:val="32"/>
        </w:rPr>
      </w:pPr>
      <w:r>
        <w:rPr>
          <w:rFonts w:hint="eastAsia" w:ascii="黑体" w:hAnsi="黑体" w:eastAsia="黑体" w:cs="黑体"/>
          <w:sz w:val="32"/>
          <w:szCs w:val="32"/>
        </w:rPr>
        <w:t>第三章  房屋安全鉴定</w:t>
      </w:r>
    </w:p>
    <w:p>
      <w:pPr>
        <w:spacing w:line="560" w:lineRule="exact"/>
        <w:ind w:firstLine="640" w:firstLineChars="200"/>
        <w:outlineLvl w:val="0"/>
        <w:rPr>
          <w:rFonts w:ascii="仿宋_GB2312" w:hAnsi="仿宋_GB2312" w:eastAsia="仿宋_GB2312" w:cs="仿宋_GB2312"/>
          <w:bCs/>
          <w:sz w:val="32"/>
          <w:szCs w:val="32"/>
        </w:rPr>
      </w:pPr>
      <w:r>
        <w:rPr>
          <w:rFonts w:hint="eastAsia" w:ascii="黑体" w:hAnsi="黑体" w:eastAsia="黑体" w:cs="黑体"/>
          <w:sz w:val="32"/>
          <w:szCs w:val="32"/>
        </w:rPr>
        <w:t>第十七条</w:t>
      </w:r>
      <w:r>
        <w:rPr>
          <w:rFonts w:hint="eastAsia" w:ascii="黑体" w:hAnsi="黑体" w:eastAsia="黑体" w:cs="黑体"/>
          <w:b/>
          <w:bCs/>
          <w:sz w:val="32"/>
          <w:szCs w:val="32"/>
        </w:rPr>
        <w:t xml:space="preserve">  </w:t>
      </w:r>
      <w:r>
        <w:rPr>
          <w:rFonts w:hint="eastAsia" w:ascii="仿宋_GB2312" w:hAnsi="仿宋_GB2312" w:eastAsia="仿宋_GB2312" w:cs="仿宋_GB2312"/>
          <w:sz w:val="32"/>
          <w:szCs w:val="32"/>
        </w:rPr>
        <w:t>在本市从事房屋安全鉴定的机构应当具有独立法人资格、</w:t>
      </w:r>
      <w:r>
        <w:rPr>
          <w:rFonts w:hint="eastAsia" w:ascii="仿宋_GB2312" w:hAnsi="仿宋_GB2312" w:eastAsia="仿宋_GB2312" w:cs="仿宋_GB2312"/>
          <w:bCs/>
          <w:sz w:val="32"/>
          <w:szCs w:val="32"/>
        </w:rPr>
        <w:t>符合建设工程质量专项检测机构资质标准。</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第十八条</w:t>
      </w:r>
      <w:r>
        <w:rPr>
          <w:rFonts w:hint="eastAsia" w:ascii="仿宋_GB2312" w:hAnsi="仿宋_GB2312" w:eastAsia="仿宋_GB2312" w:cs="仿宋_GB2312"/>
          <w:sz w:val="32"/>
          <w:szCs w:val="32"/>
        </w:rPr>
        <w:t xml:space="preserve">  房屋安全鉴定机构</w:t>
      </w:r>
      <w:r>
        <w:rPr>
          <w:rFonts w:hint="eastAsia" w:ascii="仿宋_GB2312" w:hAnsi="仿宋_GB2312" w:eastAsia="仿宋_GB2312" w:cs="仿宋_GB2312"/>
          <w:bCs/>
          <w:sz w:val="32"/>
          <w:szCs w:val="32"/>
        </w:rPr>
        <w:t>应当依据法律、法规、行业标准和规范</w:t>
      </w:r>
      <w:r>
        <w:rPr>
          <w:rFonts w:hint="eastAsia" w:ascii="仿宋_GB2312" w:hAnsi="仿宋_GB2312" w:eastAsia="仿宋_GB2312" w:cs="仿宋_GB2312"/>
          <w:sz w:val="32"/>
          <w:szCs w:val="32"/>
        </w:rPr>
        <w:t>对房屋进行检测，根据检测数据</w:t>
      </w:r>
      <w:r>
        <w:rPr>
          <w:rFonts w:hint="eastAsia" w:ascii="仿宋_GB2312" w:hAnsi="仿宋_GB2312" w:eastAsia="仿宋_GB2312" w:cs="仿宋_GB2312"/>
          <w:bCs/>
          <w:sz w:val="32"/>
          <w:szCs w:val="32"/>
        </w:rPr>
        <w:t>出具鉴定报告</w:t>
      </w:r>
      <w:r>
        <w:rPr>
          <w:rFonts w:hint="eastAsia" w:ascii="仿宋_GB2312" w:hAnsi="仿宋_GB2312" w:eastAsia="仿宋_GB2312" w:cs="仿宋_GB2312"/>
          <w:sz w:val="32"/>
          <w:szCs w:val="32"/>
        </w:rPr>
        <w:t>。</w:t>
      </w:r>
      <w:r>
        <w:rPr>
          <w:rFonts w:hint="eastAsia" w:ascii="仿宋_GB2312" w:hAnsi="仿宋_GB2312" w:eastAsia="仿宋_GB2312" w:cs="仿宋_GB2312"/>
          <w:bCs/>
          <w:color w:val="000000" w:themeColor="text1"/>
          <w:sz w:val="32"/>
          <w:szCs w:val="32"/>
          <w14:textFill>
            <w14:solidFill>
              <w14:schemeClr w14:val="tx1"/>
            </w14:solidFill>
          </w14:textFill>
        </w:rPr>
        <w:t>房屋安全鉴定机构</w:t>
      </w:r>
      <w:r>
        <w:rPr>
          <w:rFonts w:hint="eastAsia" w:ascii="仿宋_GB2312" w:hAnsi="仿宋_GB2312" w:eastAsia="仿宋_GB2312" w:cs="仿宋_GB2312"/>
          <w:sz w:val="32"/>
          <w:szCs w:val="32"/>
        </w:rPr>
        <w:t>不得</w:t>
      </w:r>
      <w:r>
        <w:rPr>
          <w:rFonts w:hint="eastAsia" w:ascii="仿宋_GB2312" w:hAnsi="仿宋_GB2312" w:eastAsia="仿宋_GB2312" w:cs="仿宋_GB2312"/>
          <w:bCs/>
          <w:color w:val="000000" w:themeColor="text1"/>
          <w:sz w:val="32"/>
          <w:szCs w:val="32"/>
          <w14:textFill>
            <w14:solidFill>
              <w14:schemeClr w14:val="tx1"/>
            </w14:solidFill>
          </w14:textFill>
        </w:rPr>
        <w:t>出具</w:t>
      </w:r>
      <w:r>
        <w:rPr>
          <w:rFonts w:hint="eastAsia" w:ascii="仿宋_GB2312" w:hAnsi="仿宋_GB2312" w:eastAsia="仿宋_GB2312" w:cs="仿宋_GB2312"/>
          <w:sz w:val="32"/>
          <w:szCs w:val="32"/>
        </w:rPr>
        <w:t>虚假鉴定报告。</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房屋安全鉴定机构出具</w:t>
      </w:r>
      <w:r>
        <w:rPr>
          <w:rFonts w:hint="eastAsia" w:ascii="仿宋_GB2312" w:hAnsi="仿宋_GB2312" w:eastAsia="仿宋_GB2312" w:cs="仿宋_GB2312"/>
          <w:sz w:val="32"/>
          <w:szCs w:val="32"/>
        </w:rPr>
        <w:t>的</w:t>
      </w:r>
      <w:r>
        <w:rPr>
          <w:rFonts w:hint="eastAsia" w:ascii="仿宋_GB2312" w:hAnsi="仿宋_GB2312" w:eastAsia="仿宋_GB2312" w:cs="仿宋_GB2312"/>
          <w:bCs/>
          <w:sz w:val="32"/>
          <w:szCs w:val="32"/>
        </w:rPr>
        <w:t>鉴定报告应当</w:t>
      </w:r>
      <w:r>
        <w:rPr>
          <w:rFonts w:hint="eastAsia" w:ascii="仿宋_GB2312" w:hAnsi="仿宋_GB2312" w:eastAsia="仿宋_GB2312" w:cs="仿宋_GB2312"/>
          <w:sz w:val="32"/>
          <w:szCs w:val="32"/>
        </w:rPr>
        <w:t>包含房屋概况、鉴定过程和鉴定结论等内容，</w:t>
      </w:r>
      <w:r>
        <w:rPr>
          <w:rFonts w:hint="eastAsia" w:ascii="仿宋_GB2312" w:hAnsi="仿宋_GB2312" w:eastAsia="仿宋_GB2312" w:cs="仿宋_GB2312"/>
          <w:bCs/>
          <w:sz w:val="32"/>
          <w:szCs w:val="32"/>
        </w:rPr>
        <w:t>由具备一级注册结构工程师资格的专业技术人员审核、签字确认并加盖注册结构工程师印章；涉及地基基础工程的，还应当由具备注册岩土工程师资格的专业技术人员审核、签字确认并加盖注册岩土工程师印章。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房屋危险性鉴定为A级、B级的鉴定报告自作出之日起30日内和C级、D级的鉴定报告自作出后24小时内，房屋安全鉴定机构应当将其报送所在地县级人民政府住房城乡建设主管部门，并由县级人民政府住房城乡建设主管部门即时报告市住房城乡建设主管部门。</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黑体" w:hAnsi="黑体" w:eastAsia="黑体" w:cs="黑体"/>
          <w:b/>
          <w:sz w:val="32"/>
          <w:szCs w:val="32"/>
        </w:rPr>
        <w:t xml:space="preserve"> </w:t>
      </w:r>
      <w:r>
        <w:rPr>
          <w:rFonts w:hint="eastAsia" w:ascii="仿宋_GB2312" w:hAnsi="仿宋_GB2312" w:eastAsia="仿宋_GB2312" w:cs="仿宋_GB2312"/>
          <w:sz w:val="32"/>
          <w:szCs w:val="32"/>
        </w:rPr>
        <w:t>有下列情形之一的，应当委托依法设立的房屋安全鉴定机构进行安全鉴定：</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（一）房屋及建筑幕墙达到设计使用年限仍</w:t>
      </w:r>
      <w:r>
        <w:rPr>
          <w:rFonts w:hint="eastAsia" w:ascii="仿宋_GB2312" w:hAnsi="仿宋_GB2312" w:eastAsia="仿宋_GB2312" w:cs="仿宋_GB2312"/>
          <w:bCs/>
          <w:color w:val="000000" w:themeColor="text1"/>
          <w:sz w:val="32"/>
          <w:szCs w:val="32"/>
          <w14:textFill>
            <w14:solidFill>
              <w14:schemeClr w14:val="tx1"/>
            </w14:solidFill>
          </w14:textFill>
        </w:rPr>
        <w:t>需</w:t>
      </w:r>
      <w:r>
        <w:rPr>
          <w:rFonts w:hint="eastAsia" w:ascii="仿宋_GB2312" w:hAnsi="仿宋_GB2312" w:eastAsia="仿宋_GB2312" w:cs="仿宋_GB2312"/>
          <w:sz w:val="32"/>
          <w:szCs w:val="32"/>
        </w:rPr>
        <w:t>继续使用的；</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（二）房屋地基基础、墙体或者其他承重构件有明显下沉、裂缝、变形、腐蚀等危险状况后仍需继续使用的；</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（三）因自然灾害或者爆炸、火灾等事故造成房屋受损的；</w:t>
      </w:r>
    </w:p>
    <w:p>
      <w:pPr>
        <w:spacing w:line="560" w:lineRule="exact"/>
        <w:ind w:firstLine="640" w:firstLineChars="200"/>
        <w:outlineLvl w:val="0"/>
        <w:rPr>
          <w:rFonts w:ascii="仿宋_GB2312" w:hAnsi="仿宋_GB2312" w:eastAsia="仿宋_GB2312" w:cs="仿宋_GB2312"/>
          <w:b/>
          <w:sz w:val="32"/>
          <w:szCs w:val="32"/>
        </w:rPr>
      </w:pPr>
      <w:r>
        <w:rPr>
          <w:rFonts w:hint="eastAsia" w:ascii="仿宋_GB2312" w:hAnsi="仿宋_GB2312" w:eastAsia="仿宋_GB2312" w:cs="仿宋_GB2312"/>
          <w:bCs/>
          <w:sz w:val="32"/>
          <w:szCs w:val="32"/>
        </w:rPr>
        <w:t>（四）因</w:t>
      </w:r>
      <w:r>
        <w:rPr>
          <w:rFonts w:hint="eastAsia" w:ascii="仿宋_GB2312" w:hAnsi="仿宋_GB2312" w:eastAsia="仿宋_GB2312" w:cs="仿宋_GB2312"/>
          <w:sz w:val="32"/>
          <w:szCs w:val="32"/>
        </w:rPr>
        <w:t>工程施工造成房屋损坏的；</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（五）其他可能危及房屋结构安全的情形。</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前款第一项至第</w:t>
      </w:r>
      <w:r>
        <w:rPr>
          <w:rFonts w:hint="eastAsia" w:ascii="仿宋_GB2312" w:hAnsi="仿宋_GB2312" w:eastAsia="仿宋_GB2312" w:cs="仿宋_GB2312"/>
          <w:bCs/>
          <w:sz w:val="32"/>
          <w:szCs w:val="32"/>
        </w:rPr>
        <w:t>三</w:t>
      </w:r>
      <w:r>
        <w:rPr>
          <w:rFonts w:hint="eastAsia" w:ascii="仿宋_GB2312" w:hAnsi="仿宋_GB2312" w:eastAsia="仿宋_GB2312" w:cs="仿宋_GB2312"/>
          <w:sz w:val="32"/>
          <w:szCs w:val="32"/>
        </w:rPr>
        <w:t>项规定房屋的安全鉴定，由房屋使用安全责任人委托。第</w:t>
      </w:r>
      <w:r>
        <w:rPr>
          <w:rFonts w:hint="eastAsia" w:ascii="仿宋_GB2312" w:hAnsi="仿宋_GB2312" w:eastAsia="仿宋_GB2312" w:cs="仿宋_GB2312"/>
          <w:bCs/>
          <w:sz w:val="32"/>
          <w:szCs w:val="32"/>
        </w:rPr>
        <w:t>四</w:t>
      </w:r>
      <w:r>
        <w:rPr>
          <w:rFonts w:hint="eastAsia" w:ascii="仿宋_GB2312" w:hAnsi="仿宋_GB2312" w:eastAsia="仿宋_GB2312" w:cs="仿宋_GB2312"/>
          <w:sz w:val="32"/>
          <w:szCs w:val="32"/>
        </w:rPr>
        <w:t>项规定房屋的安全鉴定，由</w:t>
      </w:r>
      <w:r>
        <w:rPr>
          <w:rFonts w:hint="eastAsia" w:ascii="仿宋_GB2312" w:hAnsi="仿宋_GB2312" w:eastAsia="仿宋_GB2312" w:cs="仿宋_GB2312"/>
          <w:bCs/>
          <w:sz w:val="32"/>
          <w:szCs w:val="32"/>
        </w:rPr>
        <w:t>在建项目</w:t>
      </w:r>
      <w:r>
        <w:rPr>
          <w:rFonts w:hint="eastAsia" w:ascii="仿宋_GB2312" w:hAnsi="仿宋_GB2312" w:eastAsia="仿宋_GB2312" w:cs="仿宋_GB2312"/>
          <w:sz w:val="32"/>
          <w:szCs w:val="32"/>
        </w:rPr>
        <w:t>建设单位委托；建设单位未委托的，房屋使用安全责任人</w:t>
      </w:r>
      <w:r>
        <w:rPr>
          <w:rFonts w:hint="eastAsia" w:ascii="仿宋_GB2312" w:hAnsi="仿宋_GB2312" w:eastAsia="仿宋_GB2312" w:cs="仿宋_GB2312"/>
          <w:b/>
          <w:bCs/>
          <w:sz w:val="32"/>
          <w:szCs w:val="32"/>
        </w:rPr>
        <w:t>、</w:t>
      </w:r>
      <w:r>
        <w:rPr>
          <w:rFonts w:hint="eastAsia" w:ascii="仿宋_GB2312" w:hAnsi="仿宋_GB2312" w:eastAsia="仿宋_GB2312" w:cs="仿宋_GB2312"/>
          <w:bCs/>
          <w:sz w:val="32"/>
          <w:szCs w:val="32"/>
        </w:rPr>
        <w:t>利害关系人</w:t>
      </w:r>
      <w:r>
        <w:rPr>
          <w:rFonts w:hint="eastAsia" w:ascii="仿宋_GB2312" w:hAnsi="仿宋_GB2312" w:eastAsia="仿宋_GB2312" w:cs="仿宋_GB2312"/>
          <w:sz w:val="32"/>
          <w:szCs w:val="32"/>
        </w:rPr>
        <w:t>可以申请</w:t>
      </w:r>
      <w:r>
        <w:rPr>
          <w:rFonts w:hint="eastAsia" w:ascii="仿宋_GB2312" w:hAnsi="仿宋_GB2312" w:eastAsia="仿宋_GB2312" w:cs="仿宋_GB2312"/>
          <w:bCs/>
          <w:sz w:val="32"/>
          <w:szCs w:val="32"/>
        </w:rPr>
        <w:t>所在地县级人民政府</w:t>
      </w:r>
      <w:r>
        <w:rPr>
          <w:rFonts w:hint="eastAsia" w:ascii="仿宋_GB2312" w:hAnsi="仿宋_GB2312" w:eastAsia="仿宋_GB2312" w:cs="仿宋_GB2312"/>
          <w:sz w:val="32"/>
          <w:szCs w:val="32"/>
        </w:rPr>
        <w:t>住房城乡建设主管部门责令其限期委托。</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住房城乡建设主管部门发现有本条第一款规定情形的房屋未进行安全鉴定的，应当及时告知并督促房屋使用安全责任人按照规定委托鉴定。涉及公共安全，房屋使用安全责任人确因经济困难未委托鉴定的，由</w:t>
      </w:r>
      <w:r>
        <w:rPr>
          <w:rFonts w:hint="eastAsia" w:ascii="仿宋_GB2312" w:hAnsi="仿宋_GB2312" w:eastAsia="仿宋_GB2312" w:cs="仿宋_GB2312"/>
          <w:bCs/>
          <w:sz w:val="32"/>
          <w:szCs w:val="32"/>
        </w:rPr>
        <w:t>所在地</w:t>
      </w:r>
      <w:r>
        <w:rPr>
          <w:rFonts w:hint="eastAsia" w:ascii="仿宋_GB2312" w:hAnsi="仿宋_GB2312" w:eastAsia="仿宋_GB2312" w:cs="仿宋_GB2312"/>
          <w:sz w:val="32"/>
          <w:szCs w:val="32"/>
        </w:rPr>
        <w:t>县级人民政府根据实际需要，组织有关部门委托鉴定或者适当补助鉴定费。</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因房屋租赁、抵押、出让、交换等活动，对房屋使用安全有要求的，当事人可以委托房屋安全鉴定机构进行鉴定。</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b/>
          <w:bCs/>
          <w:sz w:val="32"/>
          <w:szCs w:val="32"/>
        </w:rPr>
        <w:t>一</w:t>
      </w:r>
      <w:r>
        <w:rPr>
          <w:rFonts w:hint="eastAsia" w:ascii="黑体" w:hAnsi="黑体" w:eastAsia="黑体" w:cs="黑体"/>
          <w:sz w:val="32"/>
          <w:szCs w:val="32"/>
        </w:rPr>
        <w:t>条</w:t>
      </w:r>
      <w:r>
        <w:rPr>
          <w:rFonts w:hint="eastAsia" w:ascii="黑体" w:hAnsi="黑体" w:eastAsia="黑体" w:cs="黑体"/>
          <w:b/>
          <w:bCs/>
          <w:sz w:val="32"/>
          <w:szCs w:val="32"/>
        </w:rPr>
        <w:t xml:space="preserve">  </w:t>
      </w:r>
      <w:r>
        <w:rPr>
          <w:rFonts w:hint="eastAsia" w:ascii="仿宋_GB2312" w:hAnsi="仿宋_GB2312" w:eastAsia="仿宋_GB2312" w:cs="仿宋_GB2312"/>
          <w:sz w:val="32"/>
          <w:szCs w:val="32"/>
        </w:rPr>
        <w:t>经鉴定属于危险房屋的，房屋安全鉴定机构应当在鉴定报告中载明具体鉴定结论和下列处置措施：</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（一）观察使用，适用于采取适当安全技术措施后，可以短期使用，但须继续观察的房屋，房屋使用安全责任人应当按照鉴定报告载明的观察使用条件和时限使用；</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处理使用，适用于采取适当技术措施后，可以解除危险的房屋，房屋使用安全责任人应当委托具有相应资质的设计单位出具解危技术方案，委托具有相应资质的施工单位按照设计方案施工，并按照设计单位确定的后续使用年限使用；</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（三）停止使用，适用于已无修缮价值，暂时不便拆除，又不危及相邻建筑和影响他人安全的房屋，使用人应当停止使用，立即迁出；</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（四）整体拆除，适用于整幢危险且无修缮价值，需要立即拆除的房屋，使用人应当立即迁出。</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鉴定委托人、利害关系人对房屋安全鉴定结论有异议的，可以</w:t>
      </w:r>
      <w:r>
        <w:rPr>
          <w:rFonts w:hint="eastAsia" w:ascii="仿宋_GB2312" w:hAnsi="仿宋_GB2312" w:eastAsia="仿宋_GB2312" w:cs="仿宋_GB2312"/>
          <w:bCs/>
          <w:sz w:val="32"/>
          <w:szCs w:val="32"/>
        </w:rPr>
        <w:t>在知道或者应当知道鉴定结论之日起30日内</w:t>
      </w:r>
      <w:r>
        <w:rPr>
          <w:rFonts w:hint="eastAsia" w:ascii="仿宋_GB2312" w:hAnsi="仿宋_GB2312" w:eastAsia="仿宋_GB2312" w:cs="仿宋_GB2312"/>
          <w:sz w:val="32"/>
          <w:szCs w:val="32"/>
        </w:rPr>
        <w:t>向市住房城乡建设主管部门申请复核。</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市住房城乡建设主管部门应当自受理复核申请之日起30日内组织专家进行论证，并出具复核意见。</w:t>
      </w:r>
    </w:p>
    <w:p>
      <w:pPr>
        <w:spacing w:line="560" w:lineRule="exact"/>
        <w:ind w:firstLine="640" w:firstLineChars="200"/>
        <w:outlineLvl w:val="0"/>
        <w:rPr>
          <w:rFonts w:ascii="仿宋_GB2312" w:hAnsi="仿宋_GB2312" w:eastAsia="仿宋_GB2312" w:cs="仿宋_GB2312"/>
          <w:sz w:val="32"/>
          <w:szCs w:val="32"/>
        </w:rPr>
      </w:pPr>
    </w:p>
    <w:p>
      <w:pPr>
        <w:spacing w:line="560" w:lineRule="exact"/>
        <w:jc w:val="center"/>
        <w:outlineLvl w:val="0"/>
        <w:rPr>
          <w:rFonts w:ascii="黑体" w:hAnsi="黑体" w:eastAsia="黑体" w:cs="黑体"/>
          <w:sz w:val="32"/>
          <w:szCs w:val="32"/>
        </w:rPr>
      </w:pPr>
      <w:r>
        <w:rPr>
          <w:rFonts w:hint="eastAsia" w:ascii="黑体" w:hAnsi="黑体" w:eastAsia="黑体" w:cs="黑体"/>
          <w:sz w:val="32"/>
          <w:szCs w:val="32"/>
        </w:rPr>
        <w:t>第四章  危险房屋治理、应急处置和白蚁防治</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bCs/>
          <w:sz w:val="32"/>
          <w:szCs w:val="32"/>
        </w:rPr>
        <w:t>县级人民政府</w:t>
      </w:r>
      <w:r>
        <w:rPr>
          <w:rFonts w:hint="eastAsia" w:ascii="仿宋_GB2312" w:hAnsi="仿宋_GB2312" w:eastAsia="仿宋_GB2312" w:cs="仿宋_GB2312"/>
          <w:sz w:val="32"/>
          <w:szCs w:val="32"/>
        </w:rPr>
        <w:t>住房城乡建设主管部门</w:t>
      </w:r>
      <w:r>
        <w:rPr>
          <w:rFonts w:hint="eastAsia" w:ascii="仿宋_GB2312" w:hAnsi="仿宋_GB2312" w:eastAsia="仿宋_GB2312" w:cs="仿宋_GB2312"/>
          <w:bCs/>
          <w:sz w:val="32"/>
          <w:szCs w:val="32"/>
        </w:rPr>
        <w:t>接到</w:t>
      </w:r>
      <w:r>
        <w:rPr>
          <w:rFonts w:hint="eastAsia" w:ascii="仿宋_GB2312" w:hAnsi="仿宋_GB2312" w:eastAsia="仿宋_GB2312" w:cs="仿宋_GB2312"/>
          <w:sz w:val="32"/>
          <w:szCs w:val="32"/>
        </w:rPr>
        <w:t>C级、D级危险房屋的鉴定</w:t>
      </w:r>
      <w:r>
        <w:rPr>
          <w:rFonts w:hint="eastAsia" w:ascii="仿宋_GB2312" w:hAnsi="仿宋_GB2312" w:eastAsia="仿宋_GB2312" w:cs="仿宋_GB2312"/>
          <w:bCs/>
          <w:sz w:val="32"/>
          <w:szCs w:val="32"/>
        </w:rPr>
        <w:t>报告后</w:t>
      </w:r>
      <w:r>
        <w:rPr>
          <w:rFonts w:hint="eastAsia" w:ascii="仿宋_GB2312" w:hAnsi="仿宋_GB2312" w:eastAsia="仿宋_GB2312" w:cs="仿宋_GB2312"/>
          <w:sz w:val="32"/>
          <w:szCs w:val="32"/>
        </w:rPr>
        <w:t>，应当立即指导、督促房屋使用安全责任人对危险房屋进行治理。</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b/>
          <w:bCs/>
          <w:sz w:val="32"/>
          <w:szCs w:val="32"/>
        </w:rPr>
        <w:t xml:space="preserve">  </w:t>
      </w:r>
      <w:r>
        <w:rPr>
          <w:rFonts w:hint="eastAsia" w:ascii="仿宋_GB2312" w:hAnsi="仿宋_GB2312" w:eastAsia="仿宋_GB2312" w:cs="仿宋_GB2312"/>
          <w:sz w:val="32"/>
          <w:szCs w:val="32"/>
        </w:rPr>
        <w:t>房屋使用安全责任人应当根据房屋安全鉴定报告载明的处置措施，对危险房屋进行治理。</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危险房屋是异产毗连房屋的，涉及的房屋使用安全责任人应当按照国家有关规定，共同履行治理责任。</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b/>
          <w:bCs/>
          <w:sz w:val="32"/>
          <w:szCs w:val="32"/>
        </w:rPr>
        <w:t xml:space="preserve">  </w:t>
      </w:r>
      <w:r>
        <w:rPr>
          <w:rFonts w:hint="eastAsia" w:ascii="仿宋_GB2312" w:hAnsi="仿宋_GB2312" w:eastAsia="仿宋_GB2312" w:cs="仿宋_GB2312"/>
          <w:sz w:val="32"/>
          <w:szCs w:val="32"/>
        </w:rPr>
        <w:t>住房城乡建设主管部门应当定期</w:t>
      </w:r>
      <w:r>
        <w:rPr>
          <w:rFonts w:hint="eastAsia" w:ascii="仿宋_GB2312" w:hAnsi="仿宋_GB2312" w:eastAsia="仿宋_GB2312" w:cs="仿宋_GB2312"/>
          <w:bCs/>
          <w:sz w:val="32"/>
          <w:szCs w:val="32"/>
        </w:rPr>
        <w:t>组织</w:t>
      </w:r>
      <w:r>
        <w:rPr>
          <w:rFonts w:hint="eastAsia" w:ascii="仿宋_GB2312" w:hAnsi="仿宋_GB2312" w:eastAsia="仿宋_GB2312" w:cs="仿宋_GB2312"/>
          <w:sz w:val="32"/>
          <w:szCs w:val="32"/>
        </w:rPr>
        <w:t>巡查危险房屋治理、灭失等情况，建立危险房屋信息登记、注销制度。</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对危险房屋采取排险措施需要使用人迁出的，使用人应当及时迁出避险。</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使用人迁出的危险房屋为其唯一居住用房，且符合保障性住房其他申请条件的，可以向房屋所在地县级人民政府住房城乡建设主管部门申请保障性住房。</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bCs/>
          <w:sz w:val="32"/>
          <w:szCs w:val="32"/>
        </w:rPr>
        <w:t>未解除</w:t>
      </w:r>
      <w:r>
        <w:rPr>
          <w:rFonts w:hint="eastAsia" w:ascii="仿宋_GB2312" w:hAnsi="仿宋_GB2312" w:eastAsia="仿宋_GB2312" w:cs="仿宋_GB2312"/>
          <w:sz w:val="32"/>
          <w:szCs w:val="32"/>
        </w:rPr>
        <w:t>危险</w:t>
      </w:r>
      <w:r>
        <w:rPr>
          <w:rFonts w:hint="eastAsia" w:ascii="仿宋_GB2312" w:hAnsi="仿宋_GB2312" w:eastAsia="仿宋_GB2312" w:cs="仿宋_GB2312"/>
          <w:bCs/>
          <w:sz w:val="32"/>
          <w:szCs w:val="32"/>
        </w:rPr>
        <w:t>的</w:t>
      </w:r>
      <w:r>
        <w:rPr>
          <w:rFonts w:hint="eastAsia" w:ascii="仿宋_GB2312" w:hAnsi="仿宋_GB2312" w:eastAsia="仿宋_GB2312" w:cs="仿宋_GB2312"/>
          <w:sz w:val="32"/>
          <w:szCs w:val="32"/>
        </w:rPr>
        <w:t>房屋不得出租、出借、</w:t>
      </w:r>
      <w:r>
        <w:rPr>
          <w:rFonts w:hint="eastAsia" w:ascii="仿宋_GB2312" w:hAnsi="仿宋_GB2312" w:eastAsia="仿宋_GB2312" w:cs="仿宋_GB2312"/>
          <w:bCs/>
          <w:sz w:val="32"/>
          <w:szCs w:val="32"/>
        </w:rPr>
        <w:t>装修，不得</w:t>
      </w:r>
      <w:r>
        <w:rPr>
          <w:rFonts w:hint="eastAsia" w:ascii="仿宋_GB2312" w:hAnsi="仿宋_GB2312" w:eastAsia="仿宋_GB2312" w:cs="仿宋_GB2312"/>
          <w:sz w:val="32"/>
          <w:szCs w:val="32"/>
        </w:rPr>
        <w:t>用作经营场所</w:t>
      </w:r>
      <w:r>
        <w:rPr>
          <w:rFonts w:hint="eastAsia" w:ascii="仿宋_GB2312" w:hAnsi="仿宋_GB2312" w:eastAsia="仿宋_GB2312" w:cs="仿宋_GB2312"/>
          <w:bCs/>
          <w:sz w:val="32"/>
          <w:szCs w:val="32"/>
        </w:rPr>
        <w:t>和</w:t>
      </w:r>
      <w:r>
        <w:rPr>
          <w:rFonts w:hint="eastAsia" w:ascii="仿宋_GB2312" w:hAnsi="仿宋_GB2312" w:eastAsia="仿宋_GB2312" w:cs="仿宋_GB2312"/>
          <w:sz w:val="32"/>
          <w:szCs w:val="32"/>
        </w:rPr>
        <w:t>周转房。</w:t>
      </w:r>
    </w:p>
    <w:p>
      <w:pPr>
        <w:spacing w:line="560" w:lineRule="exact"/>
        <w:ind w:firstLine="640" w:firstLineChars="200"/>
        <w:outlineLvl w:val="0"/>
        <w:rPr>
          <w:rFonts w:ascii="仿宋_GB2312" w:hAnsi="仿宋_GB2312" w:eastAsia="仿宋_GB2312" w:cs="仿宋_GB2312"/>
          <w:dstrike/>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bCs/>
          <w:sz w:val="32"/>
          <w:szCs w:val="32"/>
        </w:rPr>
        <w:t>经鉴定应当停止使用、整体拆除的危险房屋，使用人拒不迁出的，所在地县级人民政府应当及时采取应急处置措施，停止房屋使用。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bCs/>
          <w:sz w:val="32"/>
          <w:szCs w:val="32"/>
        </w:rPr>
        <w:t xml:space="preserve">    发现成片或者整栋危险房屋，影响公共安全或者需要群体性迁出的，所在地县级人民政府应当组织乡（镇）人民政府和有关主管部门会同房屋使用安全责任人共同处置。</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超过设计使用年限或者经鉴定为危险房屋</w:t>
      </w:r>
      <w:r>
        <w:rPr>
          <w:rFonts w:hint="eastAsia" w:ascii="仿宋_GB2312" w:hAnsi="仿宋_GB2312" w:eastAsia="仿宋_GB2312" w:cs="仿宋_GB2312"/>
          <w:bCs/>
          <w:sz w:val="32"/>
          <w:szCs w:val="32"/>
        </w:rPr>
        <w:t>的成片房屋</w:t>
      </w:r>
      <w:r>
        <w:rPr>
          <w:rFonts w:hint="eastAsia" w:ascii="仿宋_GB2312" w:hAnsi="仿宋_GB2312" w:eastAsia="仿宋_GB2312" w:cs="仿宋_GB2312"/>
          <w:sz w:val="32"/>
          <w:szCs w:val="32"/>
        </w:rPr>
        <w:t>，可以</w:t>
      </w:r>
      <w:r>
        <w:rPr>
          <w:rFonts w:hint="eastAsia" w:ascii="仿宋_GB2312" w:hAnsi="仿宋_GB2312" w:eastAsia="仿宋_GB2312" w:cs="仿宋_GB2312"/>
          <w:bCs/>
          <w:sz w:val="32"/>
          <w:szCs w:val="32"/>
        </w:rPr>
        <w:t>优先</w:t>
      </w:r>
      <w:r>
        <w:rPr>
          <w:rFonts w:hint="eastAsia" w:ascii="仿宋_GB2312" w:hAnsi="仿宋_GB2312" w:eastAsia="仿宋_GB2312" w:cs="仿宋_GB2312"/>
          <w:sz w:val="32"/>
          <w:szCs w:val="32"/>
        </w:rPr>
        <w:t>纳入旧城改造范围，有计划地组织实施改造。</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经鉴定应当停止使用、整体拆除</w:t>
      </w:r>
      <w:r>
        <w:rPr>
          <w:rFonts w:hint="eastAsia" w:ascii="仿宋_GB2312" w:hAnsi="仿宋_GB2312" w:eastAsia="仿宋_GB2312" w:cs="仿宋_GB2312"/>
          <w:bCs/>
          <w:sz w:val="32"/>
          <w:szCs w:val="32"/>
        </w:rPr>
        <w:t>的危险房屋，未纳入征收计划的，房屋所有权人或者管理人可以按照城乡规划管理规定申请在原址按原面积拆除重建；</w:t>
      </w:r>
      <w:r>
        <w:rPr>
          <w:rFonts w:hint="eastAsia" w:ascii="仿宋_GB2312" w:hAnsi="仿宋_GB2312" w:eastAsia="仿宋_GB2312" w:cs="仿宋_GB2312"/>
          <w:sz w:val="32"/>
          <w:szCs w:val="32"/>
        </w:rPr>
        <w:t>已纳入征收计划未实施征收的危险房屋，所在地县级人民政府可以组织相关部门对危险房屋的权属、区位、用途、建筑面积等情况预先调查登记后拆除。</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县级人民政府应当建立房屋使用安全应急抢险救援工作机制，制定房屋使用安全应急抢险预案，定期组织培训和演练，并储备抢险救援物资和装备器材。</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鼓励新建、改建、扩建</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装饰装修房屋进行白蚁预防处理。</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发现白蚁危害的，房屋使用安全责任人应当向白蚁防治机构报告，白蚁防治机构应当及时指导房屋使用安全责任人、使用人进行白蚁灭治。</w:t>
      </w:r>
    </w:p>
    <w:p>
      <w:pPr>
        <w:spacing w:line="560" w:lineRule="exact"/>
        <w:ind w:firstLine="640" w:firstLineChars="200"/>
        <w:outlineLvl w:val="0"/>
        <w:rPr>
          <w:rFonts w:ascii="仿宋_GB2312" w:hAnsi="仿宋_GB2312" w:eastAsia="仿宋_GB2312" w:cs="仿宋_GB2312"/>
          <w:bCs/>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因危险房屋治理、应急处置和白蚁防治实施的建设工程活动，应当遵守有关建设工程安全生产、质量管理等法律、法规的规定。</w:t>
      </w:r>
    </w:p>
    <w:p>
      <w:pPr>
        <w:spacing w:line="560" w:lineRule="exact"/>
        <w:jc w:val="center"/>
        <w:outlineLvl w:val="0"/>
        <w:rPr>
          <w:rFonts w:ascii="黑体" w:hAnsi="黑体" w:eastAsia="黑体" w:cs="黑体"/>
          <w:sz w:val="32"/>
          <w:szCs w:val="32"/>
        </w:rPr>
      </w:pPr>
    </w:p>
    <w:p>
      <w:pPr>
        <w:spacing w:line="560" w:lineRule="exact"/>
        <w:jc w:val="center"/>
        <w:outlineLvl w:val="0"/>
        <w:rPr>
          <w:rFonts w:ascii="仿宋_GB2312" w:hAnsi="仿宋_GB2312" w:eastAsia="仿宋_GB2312" w:cs="仿宋_GB2312"/>
          <w:sz w:val="32"/>
          <w:szCs w:val="32"/>
        </w:rPr>
      </w:pPr>
      <w:r>
        <w:rPr>
          <w:rFonts w:hint="eastAsia" w:ascii="黑体" w:hAnsi="黑体" w:eastAsia="黑体" w:cs="黑体"/>
          <w:sz w:val="32"/>
          <w:szCs w:val="32"/>
        </w:rPr>
        <w:t>第五章  法律责任</w:t>
      </w:r>
    </w:p>
    <w:p>
      <w:pPr>
        <w:spacing w:line="560" w:lineRule="exact"/>
        <w:ind w:firstLine="640" w:firstLineChars="200"/>
        <w:outlineLvl w:val="0"/>
        <w:rPr>
          <w:rFonts w:ascii="仿宋_GB2312" w:hAnsi="仿宋_GB2312" w:eastAsia="仿宋_GB2312" w:cs="仿宋_GB2312"/>
          <w:bCs/>
          <w:sz w:val="32"/>
          <w:szCs w:val="32"/>
        </w:rPr>
      </w:pPr>
      <w:r>
        <w:rPr>
          <w:rFonts w:hint="eastAsia" w:ascii="黑体" w:hAnsi="黑体" w:eastAsia="黑体" w:cs="黑体"/>
          <w:sz w:val="32"/>
          <w:szCs w:val="32"/>
        </w:rPr>
        <w:t>第三十</w:t>
      </w:r>
      <w:r>
        <w:rPr>
          <w:rFonts w:hint="eastAsia" w:ascii="黑体" w:hAnsi="黑体" w:eastAsia="黑体" w:cs="黑体"/>
          <w:bCs/>
          <w:sz w:val="32"/>
          <w:szCs w:val="32"/>
        </w:rPr>
        <w:t>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违反本条例第九条规定的，由综合行政执法部门责令改正，</w:t>
      </w:r>
      <w:r>
        <w:rPr>
          <w:rFonts w:hint="eastAsia" w:ascii="仿宋_GB2312" w:hAnsi="仿宋_GB2312" w:eastAsia="仿宋_GB2312" w:cs="仿宋_GB2312"/>
          <w:bCs/>
          <w:sz w:val="32"/>
          <w:szCs w:val="32"/>
        </w:rPr>
        <w:t>并按照以下规定给予处罚：</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bCs/>
          <w:sz w:val="32"/>
          <w:szCs w:val="32"/>
        </w:rPr>
        <w:t>（一）违反第一项、第二项规定的，依照城乡规划、建</w:t>
      </w:r>
      <w:r>
        <w:rPr>
          <w:rFonts w:hint="eastAsia" w:ascii="仿宋_GB2312" w:hAnsi="仿宋_GB2312" w:eastAsia="仿宋_GB2312" w:cs="仿宋_GB2312"/>
          <w:sz w:val="32"/>
          <w:szCs w:val="32"/>
        </w:rPr>
        <w:t>设</w:t>
      </w:r>
      <w:r>
        <w:rPr>
          <w:rFonts w:hint="eastAsia" w:ascii="仿宋_GB2312" w:hAnsi="仿宋_GB2312" w:eastAsia="仿宋_GB2312" w:cs="仿宋_GB2312"/>
          <w:bCs/>
          <w:sz w:val="32"/>
          <w:szCs w:val="32"/>
        </w:rPr>
        <w:t>工程质量管理法律、法规的规定予以处罚；</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（二）违反第三项至第六项规定的，处以5000元以上5万元以下罚款。</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b/>
          <w:bCs/>
          <w:sz w:val="32"/>
          <w:szCs w:val="32"/>
        </w:rPr>
        <w:t xml:space="preserve">  </w:t>
      </w:r>
      <w:r>
        <w:rPr>
          <w:rFonts w:hint="eastAsia" w:ascii="仿宋_GB2312" w:hAnsi="仿宋_GB2312" w:eastAsia="仿宋_GB2312" w:cs="仿宋_GB2312"/>
          <w:sz w:val="32"/>
          <w:szCs w:val="32"/>
        </w:rPr>
        <w:t>违反本条例第</w:t>
      </w:r>
      <w:r>
        <w:rPr>
          <w:rFonts w:hint="eastAsia" w:ascii="仿宋_GB2312" w:hAnsi="Tahoma" w:eastAsia="仿宋_GB2312" w:cs="Tahoma"/>
          <w:spacing w:val="-20"/>
          <w:sz w:val="32"/>
          <w:szCs w:val="32"/>
        </w:rPr>
        <w:t>十一条第二款</w:t>
      </w:r>
      <w:r>
        <w:rPr>
          <w:rFonts w:hint="eastAsia" w:ascii="仿宋_GB2312" w:hAnsi="仿宋_GB2312" w:eastAsia="仿宋_GB2312" w:cs="仿宋_GB2312"/>
          <w:sz w:val="32"/>
          <w:szCs w:val="32"/>
        </w:rPr>
        <w:t>规定的，由综合行政执法部门责令限期改正；逾期不改</w:t>
      </w:r>
      <w:r>
        <w:rPr>
          <w:rFonts w:hint="eastAsia" w:ascii="仿宋_GB2312" w:hAnsi="仿宋_GB2312" w:eastAsia="仿宋_GB2312" w:cs="仿宋_GB2312"/>
          <w:bCs/>
          <w:sz w:val="32"/>
          <w:szCs w:val="32"/>
        </w:rPr>
        <w:t>正</w:t>
      </w:r>
      <w:r>
        <w:rPr>
          <w:rFonts w:hint="eastAsia" w:ascii="仿宋_GB2312" w:hAnsi="仿宋_GB2312" w:eastAsia="仿宋_GB2312" w:cs="仿宋_GB2312"/>
          <w:sz w:val="32"/>
          <w:szCs w:val="32"/>
        </w:rPr>
        <w:t>的，处以1万元以上3万元以下罚款。</w:t>
      </w:r>
    </w:p>
    <w:p>
      <w:pPr>
        <w:spacing w:line="560" w:lineRule="exact"/>
        <w:ind w:firstLine="640" w:firstLineChars="200"/>
        <w:outlineLvl w:val="0"/>
        <w:rPr>
          <w:rFonts w:ascii="仿宋_GB2312" w:hAnsi="仿宋_GB2312" w:eastAsia="仿宋_GB2312" w:cs="仿宋_GB2312"/>
          <w:bCs/>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违反本条例</w:t>
      </w:r>
      <w:r>
        <w:rPr>
          <w:rFonts w:hint="eastAsia" w:ascii="仿宋_GB2312" w:hAnsi="仿宋_GB2312" w:eastAsia="仿宋_GB2312" w:cs="仿宋_GB2312"/>
          <w:bCs/>
          <w:sz w:val="32"/>
          <w:szCs w:val="32"/>
        </w:rPr>
        <w:t>第十二条第二款</w:t>
      </w:r>
      <w:r>
        <w:rPr>
          <w:rFonts w:hint="eastAsia" w:ascii="仿宋_GB2312" w:hAnsi="仿宋_GB2312" w:eastAsia="仿宋_GB2312" w:cs="仿宋_GB2312"/>
          <w:sz w:val="32"/>
          <w:szCs w:val="32"/>
        </w:rPr>
        <w:t>规定</w:t>
      </w:r>
      <w:r>
        <w:rPr>
          <w:rFonts w:hint="eastAsia" w:ascii="仿宋_GB2312" w:hAnsi="仿宋_GB2312" w:eastAsia="仿宋_GB2312" w:cs="仿宋_GB2312"/>
          <w:bCs/>
          <w:sz w:val="32"/>
          <w:szCs w:val="32"/>
        </w:rPr>
        <w:t>的</w:t>
      </w:r>
      <w:r>
        <w:rPr>
          <w:rFonts w:hint="eastAsia" w:ascii="仿宋_GB2312" w:hAnsi="仿宋_GB2312" w:eastAsia="仿宋_GB2312" w:cs="仿宋_GB2312"/>
          <w:sz w:val="32"/>
          <w:szCs w:val="32"/>
        </w:rPr>
        <w:t>，由综合行政执法部门责令限期改正；逾期不改</w:t>
      </w:r>
      <w:r>
        <w:rPr>
          <w:rFonts w:hint="eastAsia" w:ascii="仿宋_GB2312" w:hAnsi="仿宋_GB2312" w:eastAsia="仿宋_GB2312" w:cs="仿宋_GB2312"/>
          <w:bCs/>
          <w:sz w:val="32"/>
          <w:szCs w:val="32"/>
        </w:rPr>
        <w:t>正</w:t>
      </w:r>
      <w:r>
        <w:rPr>
          <w:rFonts w:hint="eastAsia" w:ascii="仿宋_GB2312" w:hAnsi="仿宋_GB2312" w:eastAsia="仿宋_GB2312" w:cs="仿宋_GB2312"/>
          <w:sz w:val="32"/>
          <w:szCs w:val="32"/>
        </w:rPr>
        <w:t>的，</w:t>
      </w:r>
      <w:r>
        <w:rPr>
          <w:rFonts w:hint="eastAsia" w:ascii="仿宋_GB2312" w:hAnsi="仿宋_GB2312" w:eastAsia="仿宋_GB2312" w:cs="仿宋_GB2312"/>
          <w:bCs/>
          <w:sz w:val="32"/>
          <w:szCs w:val="32"/>
        </w:rPr>
        <w:t>按照以下规定给予处罚：</w:t>
      </w:r>
    </w:p>
    <w:p>
      <w:pPr>
        <w:spacing w:line="560" w:lineRule="exact"/>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（一）未采取专项安全防护措施的，责令停业整顿，并</w:t>
      </w:r>
      <w:r>
        <w:rPr>
          <w:rFonts w:hint="eastAsia" w:ascii="仿宋_GB2312" w:hAnsi="仿宋_GB2312" w:eastAsia="仿宋_GB2312" w:cs="仿宋_GB2312"/>
          <w:sz w:val="32"/>
          <w:szCs w:val="32"/>
        </w:rPr>
        <w:t>处以</w:t>
      </w:r>
      <w:r>
        <w:rPr>
          <w:rFonts w:hint="eastAsia" w:ascii="仿宋_GB2312" w:hAnsi="仿宋_GB2312" w:eastAsia="仿宋_GB2312" w:cs="仿宋_GB2312"/>
          <w:bCs/>
          <w:sz w:val="32"/>
          <w:szCs w:val="32"/>
        </w:rPr>
        <w:t>5</w:t>
      </w:r>
      <w:r>
        <w:rPr>
          <w:rFonts w:hint="eastAsia" w:ascii="仿宋_GB2312" w:hAnsi="仿宋_GB2312" w:eastAsia="仿宋_GB2312" w:cs="仿宋_GB2312"/>
          <w:sz w:val="32"/>
          <w:szCs w:val="32"/>
        </w:rPr>
        <w:t>万元以上10万元以下罚款</w:t>
      </w:r>
      <w:r>
        <w:rPr>
          <w:rFonts w:hint="eastAsia" w:ascii="仿宋_GB2312" w:hAnsi="仿宋_GB2312" w:eastAsia="仿宋_GB2312" w:cs="仿宋_GB2312"/>
          <w:bCs/>
          <w:sz w:val="32"/>
          <w:szCs w:val="32"/>
        </w:rPr>
        <w:t>；</w:t>
      </w:r>
    </w:p>
    <w:p>
      <w:pPr>
        <w:spacing w:line="560" w:lineRule="exact"/>
        <w:ind w:firstLine="640" w:firstLineChars="200"/>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（二）未委托有资质的单位进行跟踪监测的，</w:t>
      </w:r>
      <w:r>
        <w:rPr>
          <w:rFonts w:ascii="仿宋_GB2312" w:hAnsi="仿宋_GB2312" w:eastAsia="仿宋_GB2312" w:cs="仿宋_GB2312"/>
          <w:bCs/>
          <w:sz w:val="32"/>
          <w:szCs w:val="32"/>
        </w:rPr>
        <w:t>处</w:t>
      </w:r>
      <w:r>
        <w:rPr>
          <w:rFonts w:hint="eastAsia" w:ascii="仿宋_GB2312" w:hAnsi="仿宋_GB2312" w:eastAsia="仿宋_GB2312" w:cs="仿宋_GB2312"/>
          <w:bCs/>
          <w:sz w:val="32"/>
          <w:szCs w:val="32"/>
        </w:rPr>
        <w:t>以</w:t>
      </w:r>
      <w:r>
        <w:rPr>
          <w:rFonts w:ascii="仿宋_GB2312" w:hAnsi="仿宋_GB2312" w:eastAsia="仿宋_GB2312" w:cs="仿宋_GB2312"/>
          <w:bCs/>
          <w:sz w:val="32"/>
          <w:szCs w:val="32"/>
        </w:rPr>
        <w:t>1万元以上3万元以下罚款</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对直接负责的主管人员和其他直接责任人员处</w:t>
      </w:r>
      <w:r>
        <w:rPr>
          <w:rFonts w:hint="eastAsia" w:ascii="仿宋_GB2312" w:hAnsi="仿宋_GB2312" w:eastAsia="仿宋_GB2312" w:cs="仿宋_GB2312"/>
          <w:bCs/>
          <w:sz w:val="32"/>
          <w:szCs w:val="32"/>
        </w:rPr>
        <w:t>以</w:t>
      </w:r>
      <w:r>
        <w:rPr>
          <w:rFonts w:ascii="仿宋_GB2312" w:hAnsi="仿宋_GB2312" w:eastAsia="仿宋_GB2312" w:cs="仿宋_GB2312"/>
          <w:bCs/>
          <w:sz w:val="32"/>
          <w:szCs w:val="32"/>
        </w:rPr>
        <w:t>1000元以上5000元以下罚款</w:t>
      </w:r>
      <w:r>
        <w:rPr>
          <w:rFonts w:hint="eastAsia" w:ascii="仿宋_GB2312" w:hAnsi="仿宋_GB2312" w:eastAsia="仿宋_GB2312" w:cs="仿宋_GB2312"/>
          <w:sz w:val="32"/>
          <w:szCs w:val="32"/>
        </w:rPr>
        <w:t>。</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违反本条例第</w:t>
      </w:r>
      <w:r>
        <w:rPr>
          <w:rFonts w:hint="eastAsia" w:ascii="仿宋_GB2312" w:hAnsi="仿宋_GB2312" w:eastAsia="仿宋_GB2312" w:cs="仿宋_GB2312"/>
          <w:bCs/>
          <w:sz w:val="32"/>
          <w:szCs w:val="32"/>
        </w:rPr>
        <w:t>十</w:t>
      </w:r>
      <w:r>
        <w:rPr>
          <w:rFonts w:hint="eastAsia" w:ascii="仿宋_GB2312" w:hAnsi="仿宋_GB2312" w:eastAsia="仿宋_GB2312" w:cs="仿宋_GB2312"/>
          <w:sz w:val="32"/>
          <w:szCs w:val="32"/>
        </w:rPr>
        <w:t>八条第</w:t>
      </w:r>
      <w:r>
        <w:rPr>
          <w:rFonts w:hint="eastAsia" w:ascii="仿宋_GB2312" w:hAnsi="仿宋_GB2312" w:eastAsia="仿宋_GB2312" w:cs="仿宋_GB2312"/>
          <w:bCs/>
          <w:sz w:val="32"/>
          <w:szCs w:val="32"/>
        </w:rPr>
        <w:t>一</w:t>
      </w:r>
      <w:r>
        <w:rPr>
          <w:rFonts w:hint="eastAsia" w:ascii="仿宋_GB2312" w:hAnsi="仿宋_GB2312" w:eastAsia="仿宋_GB2312" w:cs="仿宋_GB2312"/>
          <w:sz w:val="32"/>
          <w:szCs w:val="32"/>
        </w:rPr>
        <w:t>款规定</w:t>
      </w:r>
      <w:r>
        <w:rPr>
          <w:rFonts w:hint="eastAsia" w:ascii="仿宋_GB2312" w:hAnsi="仿宋_GB2312" w:eastAsia="仿宋_GB2312" w:cs="仿宋_GB2312"/>
          <w:bCs/>
          <w:color w:val="000000" w:themeColor="text1"/>
          <w:sz w:val="32"/>
          <w:szCs w:val="32"/>
          <w14:textFill>
            <w14:solidFill>
              <w14:schemeClr w14:val="tx1"/>
            </w14:solidFill>
          </w14:textFill>
        </w:rPr>
        <w:t>出具</w:t>
      </w:r>
      <w:r>
        <w:rPr>
          <w:rFonts w:hint="eastAsia" w:ascii="仿宋_GB2312" w:hAnsi="仿宋_GB2312" w:eastAsia="仿宋_GB2312" w:cs="仿宋_GB2312"/>
          <w:bCs/>
          <w:sz w:val="32"/>
          <w:szCs w:val="32"/>
        </w:rPr>
        <w:t>虚假鉴定报告</w:t>
      </w:r>
      <w:r>
        <w:rPr>
          <w:rFonts w:hint="eastAsia" w:ascii="仿宋_GB2312" w:hAnsi="仿宋_GB2312" w:eastAsia="仿宋_GB2312" w:cs="仿宋_GB2312"/>
          <w:sz w:val="32"/>
          <w:szCs w:val="32"/>
        </w:rPr>
        <w:t>的，由综合行政执法部门</w:t>
      </w:r>
      <w:r>
        <w:rPr>
          <w:rFonts w:hint="eastAsia" w:ascii="仿宋_GB2312" w:hAnsi="仿宋_GB2312" w:eastAsia="仿宋_GB2312" w:cs="仿宋_GB2312"/>
          <w:bCs/>
          <w:sz w:val="32"/>
          <w:szCs w:val="32"/>
        </w:rPr>
        <w:t>给予警告</w:t>
      </w:r>
      <w:r>
        <w:rPr>
          <w:rFonts w:hint="eastAsia" w:ascii="仿宋_GB2312" w:hAnsi="仿宋_GB2312" w:eastAsia="仿宋_GB2312" w:cs="仿宋_GB2312"/>
          <w:sz w:val="32"/>
          <w:szCs w:val="32"/>
        </w:rPr>
        <w:t>，并处以5000元以上3万元以下罚款；有违法所得的，予以没收。</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违反本条例第</w:t>
      </w:r>
      <w:r>
        <w:rPr>
          <w:rFonts w:hint="eastAsia" w:ascii="仿宋_GB2312" w:hAnsi="仿宋_GB2312" w:eastAsia="仿宋_GB2312" w:cs="仿宋_GB2312"/>
          <w:bCs/>
          <w:sz w:val="32"/>
          <w:szCs w:val="32"/>
        </w:rPr>
        <w:t>二十</w:t>
      </w:r>
      <w:r>
        <w:rPr>
          <w:rFonts w:hint="eastAsia" w:ascii="仿宋_GB2312" w:hAnsi="仿宋_GB2312" w:eastAsia="仿宋_GB2312" w:cs="仿宋_GB2312"/>
          <w:sz w:val="32"/>
          <w:szCs w:val="32"/>
        </w:rPr>
        <w:t>六条第三款规定</w:t>
      </w:r>
      <w:r>
        <w:rPr>
          <w:rFonts w:hint="eastAsia" w:ascii="仿宋_GB2312" w:hAnsi="仿宋_GB2312" w:eastAsia="仿宋_GB2312" w:cs="仿宋_GB2312"/>
          <w:bCs/>
          <w:sz w:val="32"/>
          <w:szCs w:val="32"/>
        </w:rPr>
        <w:t>的</w:t>
      </w:r>
      <w:r>
        <w:rPr>
          <w:rFonts w:hint="eastAsia" w:ascii="仿宋_GB2312" w:hAnsi="仿宋_GB2312" w:eastAsia="仿宋_GB2312" w:cs="仿宋_GB2312"/>
          <w:sz w:val="32"/>
          <w:szCs w:val="32"/>
        </w:rPr>
        <w:t>，由综合行政执法部门责令限期改正；逾期不改</w:t>
      </w:r>
      <w:r>
        <w:rPr>
          <w:rFonts w:hint="eastAsia" w:ascii="仿宋_GB2312" w:hAnsi="仿宋_GB2312" w:eastAsia="仿宋_GB2312" w:cs="仿宋_GB2312"/>
          <w:bCs/>
          <w:sz w:val="32"/>
          <w:szCs w:val="32"/>
        </w:rPr>
        <w:t>正</w:t>
      </w:r>
      <w:r>
        <w:rPr>
          <w:rFonts w:hint="eastAsia" w:ascii="仿宋_GB2312" w:hAnsi="仿宋_GB2312" w:eastAsia="仿宋_GB2312" w:cs="仿宋_GB2312"/>
          <w:sz w:val="32"/>
          <w:szCs w:val="32"/>
        </w:rPr>
        <w:t>的，对个人处以5000元以上2万元以下罚款，对单位处以2万元以上10万元以下罚款。</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违反本条例规定的其他违法行为，法律、法规有行政处罚规定的，从其规定。</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违反本条例规定</w:t>
      </w:r>
      <w:r>
        <w:rPr>
          <w:rFonts w:hint="eastAsia" w:ascii="仿宋_GB2312" w:hAnsi="仿宋_GB2312" w:eastAsia="仿宋_GB2312" w:cs="仿宋_GB2312"/>
          <w:bCs/>
          <w:sz w:val="32"/>
          <w:szCs w:val="32"/>
        </w:rPr>
        <w:t>给他人造成损失的，依法承担赔偿责任。</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住房城乡建设和其他有关主管部门工作人员在房屋使用安全管理工作中不履行本条例规定职责或者玩忽职守、徇私舞弊、滥用职权的，由其所在单位或者有关机关对直接负责的主管人员和其他直接责任人员依法处理。</w:t>
      </w:r>
    </w:p>
    <w:p>
      <w:pPr>
        <w:spacing w:line="560" w:lineRule="exact"/>
        <w:ind w:firstLine="640" w:firstLineChars="200"/>
        <w:outlineLvl w:val="0"/>
        <w:rPr>
          <w:rFonts w:ascii="仿宋_GB2312" w:hAnsi="仿宋_GB2312" w:eastAsia="仿宋_GB2312" w:cs="仿宋_GB2312"/>
          <w:sz w:val="32"/>
          <w:szCs w:val="32"/>
        </w:rPr>
      </w:pPr>
    </w:p>
    <w:p>
      <w:pPr>
        <w:spacing w:line="560" w:lineRule="exact"/>
        <w:jc w:val="center"/>
        <w:outlineLvl w:val="0"/>
        <w:rPr>
          <w:rFonts w:ascii="黑体" w:hAnsi="黑体" w:eastAsia="黑体" w:cs="黑体"/>
          <w:sz w:val="32"/>
          <w:szCs w:val="32"/>
        </w:rPr>
      </w:pPr>
      <w:r>
        <w:rPr>
          <w:rFonts w:hint="eastAsia" w:ascii="黑体" w:hAnsi="黑体" w:eastAsia="黑体" w:cs="黑体"/>
          <w:sz w:val="32"/>
          <w:szCs w:val="32"/>
        </w:rPr>
        <w:t>第六章  附则</w:t>
      </w:r>
    </w:p>
    <w:p>
      <w:pPr>
        <w:tabs>
          <w:tab w:val="left" w:pos="546"/>
        </w:tabs>
        <w:spacing w:line="560" w:lineRule="exact"/>
        <w:ind w:firstLine="640" w:firstLineChars="200"/>
        <w:outlineLvl w:val="0"/>
        <w:rPr>
          <w:rFonts w:ascii="仿宋_GB2312" w:hAnsi="仿宋_GB2312" w:eastAsia="仿宋_GB2312" w:cs="仿宋_GB2312"/>
          <w:bCs/>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bCs/>
          <w:sz w:val="32"/>
          <w:szCs w:val="32"/>
        </w:rPr>
        <w:t>农村宅基地自建房屋的安全鉴定、危险房屋治理、应急处置和白蚁防治参照本条例相关规定执行。</w:t>
      </w:r>
    </w:p>
    <w:p>
      <w:pPr>
        <w:tabs>
          <w:tab w:val="left" w:pos="546"/>
        </w:tabs>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本条例中下列用语的含义为：</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（一）房屋安全鉴定，是指对房屋结构的安全状况和使用状况进行鉴别、评定；</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（二）危险房屋，是指结构已严重损坏或者承重构件已属危险构件，随时有可能丧失结构稳定和承载能力，不能保证居住和使用安全的房屋；</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（三）建筑幕墙，是指由玻璃、石材等面板与支承结构体系组成的，相对于主体结构有一定位移能力或者自身有一定变形能力，不承担主体结构所受作用的建筑外围护墙。</w:t>
      </w:r>
    </w:p>
    <w:p>
      <w:pPr>
        <w:autoSpaceDE w:val="0"/>
        <w:autoSpaceDN w:val="0"/>
        <w:spacing w:line="560" w:lineRule="exact"/>
        <w:ind w:firstLine="645"/>
        <w:rPr>
          <w:rFonts w:ascii="仿宋_GB2312" w:hAnsi="??_GB2312" w:eastAsia="仿宋_GB2312" w:cs="??_GB2312"/>
          <w:kern w:val="0"/>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本条例自 年 月 日起施行。</w:t>
      </w:r>
    </w:p>
    <w:p>
      <w:pPr>
        <w:spacing w:line="560" w:lineRule="exact"/>
        <w:jc w:val="center"/>
        <w:rPr>
          <w:rFonts w:ascii="楷体_GB2312" w:hAnsi="仿宋" w:eastAsia="楷体_GB2312"/>
          <w:szCs w:val="21"/>
          <w:u w:color="000000"/>
        </w:rPr>
      </w:pPr>
    </w:p>
    <w:p>
      <w:pPr>
        <w:spacing w:line="560" w:lineRule="exact"/>
        <w:jc w:val="center"/>
        <w:rPr>
          <w:rFonts w:ascii="楷体_GB2312" w:hAnsi="仿宋" w:eastAsia="楷体_GB2312"/>
          <w:szCs w:val="21"/>
          <w:u w:color="000000"/>
        </w:rPr>
      </w:pPr>
    </w:p>
    <w:p>
      <w:pPr>
        <w:spacing w:line="560" w:lineRule="exact"/>
        <w:jc w:val="center"/>
        <w:rPr>
          <w:rFonts w:ascii="方正小标宋简体" w:hAnsi="黑体" w:eastAsia="方正小标宋简体"/>
          <w:spacing w:val="-6"/>
          <w:sz w:val="44"/>
          <w:szCs w:val="44"/>
        </w:rPr>
      </w:pPr>
    </w:p>
    <w:p>
      <w:pPr>
        <w:spacing w:line="560" w:lineRule="exact"/>
        <w:jc w:val="center"/>
        <w:rPr>
          <w:rFonts w:ascii="方正小标宋简体" w:hAnsi="黑体" w:eastAsia="方正小标宋简体"/>
          <w:spacing w:val="-6"/>
          <w:sz w:val="44"/>
          <w:szCs w:val="44"/>
        </w:rPr>
      </w:pPr>
    </w:p>
    <w:p>
      <w:pPr>
        <w:spacing w:line="560" w:lineRule="exact"/>
        <w:jc w:val="center"/>
        <w:rPr>
          <w:rFonts w:ascii="方正小标宋简体" w:hAnsi="黑体" w:eastAsia="方正小标宋简体"/>
          <w:spacing w:val="-6"/>
          <w:sz w:val="44"/>
          <w:szCs w:val="44"/>
        </w:rPr>
      </w:pPr>
    </w:p>
    <w:p>
      <w:pPr>
        <w:spacing w:line="560" w:lineRule="exact"/>
        <w:jc w:val="center"/>
        <w:rPr>
          <w:rFonts w:ascii="方正小标宋简体" w:hAnsi="黑体" w:eastAsia="方正小标宋简体"/>
          <w:spacing w:val="-6"/>
          <w:sz w:val="44"/>
          <w:szCs w:val="44"/>
        </w:rPr>
      </w:pPr>
    </w:p>
    <w:p>
      <w:pPr>
        <w:spacing w:line="560" w:lineRule="exact"/>
        <w:jc w:val="center"/>
        <w:rPr>
          <w:rFonts w:ascii="方正小标宋简体" w:hAnsi="黑体" w:eastAsia="方正小标宋简体"/>
          <w:spacing w:val="-6"/>
          <w:sz w:val="44"/>
          <w:szCs w:val="44"/>
        </w:rPr>
      </w:pPr>
    </w:p>
    <w:p>
      <w:pPr>
        <w:spacing w:line="560" w:lineRule="exact"/>
        <w:jc w:val="center"/>
        <w:rPr>
          <w:rFonts w:ascii="方正小标宋简体" w:hAnsi="黑体" w:eastAsia="方正小标宋简体"/>
          <w:spacing w:val="-6"/>
          <w:sz w:val="44"/>
          <w:szCs w:val="44"/>
        </w:rPr>
      </w:pPr>
    </w:p>
    <w:p>
      <w:pPr>
        <w:spacing w:line="560" w:lineRule="exact"/>
        <w:jc w:val="center"/>
        <w:rPr>
          <w:rFonts w:ascii="方正小标宋简体" w:hAnsi="黑体" w:eastAsia="方正小标宋简体"/>
          <w:spacing w:val="-6"/>
          <w:sz w:val="44"/>
          <w:szCs w:val="44"/>
        </w:rPr>
      </w:pPr>
    </w:p>
    <w:p>
      <w:pPr>
        <w:spacing w:line="560" w:lineRule="exact"/>
        <w:jc w:val="center"/>
        <w:rPr>
          <w:rFonts w:ascii="方正小标宋简体" w:hAnsi="黑体" w:eastAsia="方正小标宋简体"/>
          <w:spacing w:val="-6"/>
          <w:sz w:val="44"/>
          <w:szCs w:val="44"/>
        </w:rPr>
      </w:pPr>
    </w:p>
    <w:p>
      <w:pPr>
        <w:spacing w:line="560" w:lineRule="exact"/>
        <w:jc w:val="center"/>
        <w:rPr>
          <w:rFonts w:ascii="方正小标宋简体" w:hAnsi="黑体" w:eastAsia="方正小标宋简体"/>
          <w:spacing w:val="-6"/>
          <w:sz w:val="44"/>
          <w:szCs w:val="44"/>
        </w:rPr>
      </w:pPr>
    </w:p>
    <w:p>
      <w:pPr>
        <w:spacing w:line="560" w:lineRule="exact"/>
        <w:jc w:val="center"/>
        <w:rPr>
          <w:rFonts w:ascii="方正小标宋简体" w:hAnsi="黑体" w:eastAsia="方正小标宋简体" w:cs="宋体"/>
          <w:sz w:val="44"/>
          <w:szCs w:val="44"/>
        </w:rPr>
      </w:pPr>
      <w:r>
        <w:rPr>
          <w:rFonts w:hint="eastAsia" w:ascii="方正小标宋简体" w:hAnsi="黑体" w:eastAsia="方正小标宋简体"/>
          <w:spacing w:val="-6"/>
          <w:sz w:val="44"/>
          <w:szCs w:val="44"/>
        </w:rPr>
        <w:t>关于修订《</w:t>
      </w:r>
      <w:r>
        <w:rPr>
          <w:rFonts w:hint="eastAsia" w:ascii="方正小标宋简体" w:hAnsi="黑体" w:eastAsia="方正小标宋简体" w:cs="宋体"/>
          <w:sz w:val="44"/>
          <w:szCs w:val="44"/>
        </w:rPr>
        <w:t>贵阳市房屋使用安全</w:t>
      </w:r>
    </w:p>
    <w:p>
      <w:pPr>
        <w:spacing w:line="560" w:lineRule="exact"/>
        <w:jc w:val="center"/>
        <w:rPr>
          <w:rFonts w:ascii="方正小标宋简体" w:hAnsi="黑体" w:eastAsia="方正小标宋简体"/>
          <w:spacing w:val="-6"/>
          <w:sz w:val="44"/>
          <w:szCs w:val="44"/>
        </w:rPr>
      </w:pPr>
      <w:r>
        <w:rPr>
          <w:rFonts w:hint="eastAsia" w:ascii="方正小标宋简体" w:hAnsi="黑体" w:eastAsia="方正小标宋简体" w:cs="宋体"/>
          <w:sz w:val="44"/>
          <w:szCs w:val="44"/>
        </w:rPr>
        <w:t>管理条例</w:t>
      </w:r>
      <w:r>
        <w:rPr>
          <w:rFonts w:hint="eastAsia" w:ascii="方正小标宋简体" w:hAnsi="黑体" w:eastAsia="方正小标宋简体"/>
          <w:spacing w:val="-6"/>
          <w:sz w:val="44"/>
          <w:szCs w:val="44"/>
        </w:rPr>
        <w:t>》的说明</w:t>
      </w:r>
    </w:p>
    <w:p>
      <w:pPr>
        <w:spacing w:line="560" w:lineRule="exact"/>
        <w:jc w:val="center"/>
        <w:rPr>
          <w:rFonts w:ascii="方正小标宋简体" w:hAnsi="黑体" w:eastAsia="方正小标宋简体"/>
          <w:sz w:val="44"/>
          <w:szCs w:val="44"/>
        </w:rPr>
      </w:pPr>
    </w:p>
    <w:p>
      <w:pPr>
        <w:spacing w:line="560" w:lineRule="exact"/>
        <w:jc w:val="center"/>
        <w:rPr>
          <w:rFonts w:ascii="楷体_GB2312" w:eastAsia="楷体_GB2312"/>
          <w:sz w:val="28"/>
          <w:szCs w:val="28"/>
        </w:rPr>
      </w:pPr>
      <w:r>
        <w:rPr>
          <w:rFonts w:hint="eastAsia" w:ascii="楷体_GB2312" w:eastAsia="楷体_GB2312"/>
          <w:sz w:val="28"/>
          <w:szCs w:val="28"/>
        </w:rPr>
        <w:t>贵阳市人大常委会</w:t>
      </w:r>
    </w:p>
    <w:p>
      <w:pPr>
        <w:spacing w:line="560" w:lineRule="exact"/>
        <w:rPr>
          <w:rFonts w:ascii="仿宋_GB2312" w:eastAsia="仿宋_GB2312"/>
          <w:sz w:val="28"/>
          <w:szCs w:val="28"/>
        </w:rPr>
      </w:pPr>
    </w:p>
    <w:p>
      <w:pPr>
        <w:spacing w:line="560" w:lineRule="exact"/>
        <w:rPr>
          <w:rFonts w:ascii="仿宋_GB2312" w:eastAsia="仿宋_GB2312"/>
          <w:sz w:val="32"/>
          <w:szCs w:val="32"/>
        </w:rPr>
      </w:pPr>
      <w:r>
        <w:rPr>
          <w:rFonts w:hint="eastAsia" w:ascii="仿宋_GB2312" w:eastAsia="仿宋_GB2312"/>
          <w:sz w:val="32"/>
          <w:szCs w:val="32"/>
        </w:rPr>
        <w:t>贵州省人大常委会：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2019年8月30日，贵阳市第十四届人民代表大会常务委员会第二十三次会议审议通过了对《贵阳市房屋使用安全管理条例》（以下简称《条例》）的修订，并决定报请批准。现作如下说明：</w:t>
      </w:r>
    </w:p>
    <w:p>
      <w:pPr>
        <w:spacing w:line="560" w:lineRule="exact"/>
        <w:ind w:firstLine="640" w:firstLineChars="200"/>
        <w:rPr>
          <w:rFonts w:ascii="黑体" w:hAnsi="黑体" w:eastAsia="黑体" w:cs="font4-Identity-H"/>
          <w:color w:val="000000"/>
          <w:kern w:val="0"/>
          <w:sz w:val="32"/>
          <w:szCs w:val="32"/>
        </w:rPr>
      </w:pPr>
      <w:r>
        <w:rPr>
          <w:rFonts w:hint="eastAsia" w:ascii="黑体" w:hAnsi="黑体" w:eastAsia="黑体" w:cs="font4-Identity-H"/>
          <w:color w:val="000000"/>
          <w:kern w:val="0"/>
          <w:sz w:val="32"/>
          <w:szCs w:val="32"/>
        </w:rPr>
        <w:t>一、修订的必要性</w:t>
      </w:r>
    </w:p>
    <w:p>
      <w:pPr>
        <w:spacing w:line="560" w:lineRule="exact"/>
        <w:ind w:firstLine="640" w:firstLineChars="200"/>
        <w:rPr>
          <w:rFonts w:ascii="黑体" w:hAnsi="黑体" w:eastAsia="黑体" w:cs="font4-Identity-H"/>
          <w:kern w:val="0"/>
          <w:sz w:val="32"/>
          <w:szCs w:val="32"/>
        </w:rPr>
      </w:pPr>
      <w:r>
        <w:rPr>
          <w:rFonts w:hint="eastAsia" w:ascii="仿宋_GB2312" w:hAnsi="黑体" w:eastAsia="仿宋_GB2312"/>
          <w:sz w:val="32"/>
          <w:szCs w:val="32"/>
        </w:rPr>
        <w:t>《条例》于2011年10月31日</w:t>
      </w:r>
      <w:r>
        <w:rPr>
          <w:rFonts w:hint="eastAsia" w:ascii="仿宋_GB2312" w:eastAsia="仿宋_GB2312"/>
          <w:sz w:val="32"/>
          <w:szCs w:val="32"/>
        </w:rPr>
        <w:t>经</w:t>
      </w:r>
      <w:r>
        <w:rPr>
          <w:rFonts w:hint="eastAsia" w:ascii="仿宋_GB2312" w:hAnsi="黑体" w:eastAsia="仿宋_GB2312"/>
          <w:sz w:val="32"/>
          <w:szCs w:val="32"/>
        </w:rPr>
        <w:t>贵阳市十二届人大常委会第三十八次会议通过，2012年1月5日贵州省十一届人大常委会第二十六次会议批准，自2012年3月1日起施行；之后，于2013年、2017年两次修改。《条例》自施行以来，在引领、推动和规范我市房屋使用安全管理工作，消除房屋安全隐患，加强危险性房屋的治理，保障公众人身财产安全方面发挥了积极作用。但随着我市经济社会的快速发展，房屋使用安全管理中一方面新情况、新问题不断出现，另一方面也积累了一些新的管理措施和经验，特别是近年来中央、省、市加强行政“放管服”改革，对着力改善民生、确保人民安居乐业等提出了更高的要求。因而，从深入贯彻落实全面依法治国基本方略，以法治思维和法治方式加强新时代我市房屋使用安全管理工作出发，在认真研究问题、总结经验的基础上，进一步对《条例》作出修订，以不断提高我市房屋使用安全法治化、专业化保障水平，十分紧迫和必要。</w:t>
      </w:r>
    </w:p>
    <w:p>
      <w:pPr>
        <w:spacing w:line="560" w:lineRule="exact"/>
        <w:ind w:firstLine="640" w:firstLineChars="200"/>
        <w:rPr>
          <w:rFonts w:ascii="黑体" w:hAnsi="黑体" w:eastAsia="黑体" w:cs="font4-Identity-H"/>
          <w:color w:val="000000"/>
          <w:kern w:val="0"/>
          <w:sz w:val="32"/>
          <w:szCs w:val="32"/>
        </w:rPr>
      </w:pPr>
      <w:r>
        <w:rPr>
          <w:rFonts w:hint="eastAsia" w:ascii="黑体" w:hAnsi="黑体" w:eastAsia="黑体" w:cs="font4-Identity-H"/>
          <w:color w:val="000000"/>
          <w:kern w:val="0"/>
          <w:sz w:val="32"/>
          <w:szCs w:val="32"/>
        </w:rPr>
        <w:t>二、</w:t>
      </w:r>
      <w:r>
        <w:rPr>
          <w:rFonts w:hint="eastAsia" w:ascii="黑体" w:hAnsi="黑体" w:eastAsia="黑体" w:cs="font4-Identity-H"/>
          <w:kern w:val="0"/>
          <w:sz w:val="32"/>
          <w:szCs w:val="32"/>
        </w:rPr>
        <w:t>修订</w:t>
      </w:r>
      <w:r>
        <w:rPr>
          <w:rFonts w:hint="eastAsia" w:ascii="黑体" w:hAnsi="黑体" w:eastAsia="黑体" w:cs="font4-Identity-H"/>
          <w:color w:val="000000"/>
          <w:kern w:val="0"/>
          <w:sz w:val="32"/>
          <w:szCs w:val="32"/>
        </w:rPr>
        <w:t>过程</w:t>
      </w:r>
      <w:bookmarkStart w:id="0" w:name="_GoBack"/>
      <w:bookmarkEnd w:id="0"/>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2018年12月7日，市人民政府常务会议通过关于提请修订《条例》的议案。由于修改的内容较多，此次修订工作采取了废旧立新的方式进行全面修订。同月26日，市十四届人大常委会第十七会议对《条例》的修订草案进行了初次审议。根据常委会组成人员和市人大城建环保委的初审意见，常委会法工委对草案作了相应的修改，形成征求意见稿。就此，除在贵阳日报、贵阳晚报和贵阳人大网予以公示，印发市“两院”和各区（市、县）人大常委会征求意见外，一方面，分别召开有市直相关部门、开发区管委会、区（县、市）房屋使用安全管理部门、社区服务机构、物业服务企业等参加的征求意见会和常委会地方立法咨询专家座谈会，听取进一步的修改意见；另一方面，围绕房屋安全鉴定的市场化、工程施工对周边房屋安全的影响、农村自建房屋的使用安全管理等常委会组成人员关注的事项，赴江苏省泰州市、苏州市等地开展考察，学习借鉴外地经验。</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综合以上情况，法工委对征求意见稿再行修改，经市人大法制委统一审议形成二次审议稿，市十四届人大常委会第二十二次会议于2019年 6月25日进行了第二次审议。之后，</w:t>
      </w:r>
      <w:r>
        <w:rPr>
          <w:rFonts w:hint="eastAsia" w:ascii="仿宋_GB2312" w:hAnsi="Calibri" w:eastAsia="仿宋_GB2312"/>
          <w:sz w:val="32"/>
          <w:szCs w:val="32"/>
        </w:rPr>
        <w:t>法工委根据</w:t>
      </w:r>
      <w:r>
        <w:rPr>
          <w:rFonts w:hint="eastAsia" w:ascii="仿宋_GB2312" w:hAnsi="黑体" w:eastAsia="仿宋_GB2312"/>
          <w:sz w:val="32"/>
          <w:szCs w:val="32"/>
        </w:rPr>
        <w:t>常委会组成人员的二</w:t>
      </w:r>
      <w:r>
        <w:rPr>
          <w:rFonts w:hint="eastAsia" w:ascii="仿宋_GB2312" w:hAnsi="Calibri" w:eastAsia="仿宋_GB2312"/>
          <w:sz w:val="32"/>
          <w:szCs w:val="32"/>
        </w:rPr>
        <w:t>审意见，结合建设工程质量检测相关机构、企业及其技术专家、管理人员的建议，以及省人大法制委、常委会法工委的意见，对二次审议稿又作修改，形成三次审议稿。经法制委统一审议并由</w:t>
      </w:r>
      <w:r>
        <w:rPr>
          <w:rFonts w:hint="eastAsia" w:ascii="仿宋_GB2312" w:hAnsi="黑体" w:eastAsia="仿宋_GB2312"/>
          <w:sz w:val="32"/>
          <w:szCs w:val="32"/>
        </w:rPr>
        <w:t>主任会议决定，在向市委报告和再次征求市人民政府意见后，市十四届人大常委会第二十三次会议于2019年8月29日进行了第三次审议。</w:t>
      </w:r>
    </w:p>
    <w:p>
      <w:pPr>
        <w:spacing w:line="560" w:lineRule="exact"/>
        <w:ind w:firstLine="640" w:firstLineChars="200"/>
        <w:rPr>
          <w:rFonts w:ascii="黑体" w:hAnsi="黑体" w:eastAsia="黑体" w:cs="font4-Identity-H"/>
          <w:color w:val="000000"/>
          <w:kern w:val="0"/>
          <w:sz w:val="32"/>
          <w:szCs w:val="32"/>
        </w:rPr>
      </w:pPr>
      <w:r>
        <w:rPr>
          <w:rFonts w:hint="eastAsia" w:ascii="黑体" w:hAnsi="黑体" w:eastAsia="黑体" w:cs="font4-Identity-H"/>
          <w:color w:val="000000"/>
          <w:kern w:val="0"/>
          <w:sz w:val="32"/>
          <w:szCs w:val="32"/>
        </w:rPr>
        <w:t>三、需要说明的问题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条例》共六章四十一条，由于没有直接上位法，修订过程中根据《中华人民共和国建筑法》、《中华人民共和国安全生产法》、《中华人民共和国物权法》和国务院《建筑工程质量管理条例》、《建设工程安全生产管理条例》</w:t>
      </w:r>
      <w:r>
        <w:rPr>
          <w:rFonts w:hint="eastAsia" w:ascii="仿宋_GB2312" w:hAnsi="宋体" w:eastAsia="仿宋_GB2312" w:cs="宋体"/>
          <w:sz w:val="32"/>
          <w:szCs w:val="32"/>
        </w:rPr>
        <w:t>等法律、行政法规的相关规定，结合贵阳市房屋使用安全管理的具体情况和实际需要，</w:t>
      </w:r>
      <w:r>
        <w:rPr>
          <w:rFonts w:hint="eastAsia" w:ascii="仿宋_GB2312" w:eastAsia="仿宋_GB2312"/>
          <w:sz w:val="32"/>
          <w:szCs w:val="32"/>
        </w:rPr>
        <w:t>主要从房屋使用安全管理、房屋安全鉴定、危险房屋治理、应急处置和白蚁防治等方面进行了规范。</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（一）关于适用范围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《条例》第二条第一款</w:t>
      </w:r>
      <w:r>
        <w:rPr>
          <w:rFonts w:hint="eastAsia" w:ascii="仿宋_GB2312" w:hAnsi="黑体" w:eastAsia="仿宋_GB2312"/>
          <w:sz w:val="32"/>
          <w:szCs w:val="32"/>
        </w:rPr>
        <w:t>规定</w:t>
      </w:r>
      <w:r>
        <w:rPr>
          <w:rFonts w:hint="eastAsia" w:ascii="仿宋_GB2312" w:eastAsia="仿宋_GB2312"/>
          <w:sz w:val="32"/>
          <w:szCs w:val="32"/>
        </w:rPr>
        <w:t>适用范围是“本市行政区域内依法建造并已经交付的房屋的使用安全管理及其相关活动”。</w:t>
      </w:r>
      <w:r>
        <w:rPr>
          <w:rFonts w:hint="eastAsia" w:ascii="仿宋_GB2312" w:hAnsi="黑体" w:eastAsia="仿宋_GB2312"/>
          <w:sz w:val="32"/>
          <w:szCs w:val="32"/>
        </w:rPr>
        <w:t>鉴于农村房屋的建设普遍缺乏规范标准，对农村房屋的使用安全管理不宜作出统一的规定，</w:t>
      </w:r>
      <w:r>
        <w:rPr>
          <w:rFonts w:hint="eastAsia" w:ascii="仿宋_GB2312" w:eastAsia="仿宋_GB2312"/>
          <w:sz w:val="32"/>
          <w:szCs w:val="32"/>
        </w:rPr>
        <w:t>此项规定的立法本意旨在规范合法建造的城镇房屋的使用安全管理；而对于那些已经存在并且不是按照法定审批程序批准和适用国家建设规范标准修建的农村房屋，《条例》第三十九条则</w:t>
      </w:r>
      <w:r>
        <w:rPr>
          <w:rFonts w:hint="eastAsia" w:ascii="仿宋_GB2312" w:hAnsi="黑体" w:eastAsia="仿宋_GB2312"/>
          <w:sz w:val="32"/>
          <w:szCs w:val="32"/>
        </w:rPr>
        <w:t>采取了客观、灵活的原则处理</w:t>
      </w:r>
      <w:r>
        <w:rPr>
          <w:rFonts w:hint="eastAsia" w:ascii="仿宋_GB2312" w:eastAsia="仿宋_GB2312"/>
          <w:sz w:val="32"/>
          <w:szCs w:val="32"/>
        </w:rPr>
        <w:t>，即规定“农村宅基地自建房屋的安全鉴定、危险房屋治理、应急处置和白蚁防治参照本条例相关规定执行。”此外，《条例》还</w:t>
      </w:r>
      <w:r>
        <w:rPr>
          <w:rFonts w:hint="eastAsia" w:ascii="仿宋_GB2312" w:hAnsi="黑体" w:eastAsia="仿宋_GB2312"/>
          <w:sz w:val="32"/>
          <w:szCs w:val="32"/>
        </w:rPr>
        <w:t>在第二条</w:t>
      </w:r>
      <w:r>
        <w:rPr>
          <w:rFonts w:hint="eastAsia" w:ascii="仿宋_GB2312" w:eastAsia="仿宋_GB2312"/>
          <w:sz w:val="32"/>
          <w:szCs w:val="32"/>
        </w:rPr>
        <w:t>第二款和第三款以排他方式明确规定了不适用本条例的其他情形。</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（二）关于管理职责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针对实际管理中职责不够明确、统筹协调机制还不健全等问题，《条例》作出了以下修改：</w:t>
      </w:r>
      <w:r>
        <w:rPr>
          <w:rFonts w:hint="eastAsia" w:ascii="仿宋_GB2312" w:eastAsia="仿宋_GB2312"/>
          <w:b/>
          <w:sz w:val="32"/>
          <w:szCs w:val="32"/>
        </w:rPr>
        <w:t>一是</w:t>
      </w:r>
      <w:r>
        <w:rPr>
          <w:rFonts w:hint="eastAsia" w:ascii="仿宋_GB2312" w:eastAsia="仿宋_GB2312"/>
          <w:sz w:val="32"/>
          <w:szCs w:val="32"/>
        </w:rPr>
        <w:t>第三条将属地管理纳入房屋使用安全管理的原则，强化属地管理职责；</w:t>
      </w:r>
      <w:r>
        <w:rPr>
          <w:rFonts w:hint="eastAsia" w:ascii="仿宋_GB2312" w:eastAsia="仿宋_GB2312"/>
          <w:b/>
          <w:sz w:val="32"/>
          <w:szCs w:val="32"/>
        </w:rPr>
        <w:t>二是</w:t>
      </w:r>
      <w:r>
        <w:rPr>
          <w:rFonts w:hint="eastAsia" w:ascii="仿宋_GB2312" w:eastAsia="仿宋_GB2312"/>
          <w:sz w:val="32"/>
          <w:szCs w:val="32"/>
        </w:rPr>
        <w:t>第四条细化规定了各级政府、住房城乡建设主管部门及其他相关部门、开发区（园区）管理机构等的管理职责；</w:t>
      </w:r>
      <w:r>
        <w:rPr>
          <w:rFonts w:hint="eastAsia" w:ascii="仿宋_GB2312" w:eastAsia="仿宋_GB2312"/>
          <w:b/>
          <w:sz w:val="32"/>
          <w:szCs w:val="32"/>
        </w:rPr>
        <w:t>三是</w:t>
      </w:r>
      <w:r>
        <w:rPr>
          <w:rFonts w:hint="eastAsia" w:ascii="仿宋_GB2312" w:hAnsi="Calibri" w:eastAsia="仿宋_GB2312"/>
          <w:sz w:val="32"/>
          <w:szCs w:val="32"/>
        </w:rPr>
        <w:t>第十一条第一款</w:t>
      </w:r>
      <w:r>
        <w:rPr>
          <w:rFonts w:hint="eastAsia" w:ascii="仿宋_GB2312" w:eastAsia="仿宋_GB2312"/>
          <w:sz w:val="32"/>
          <w:szCs w:val="32"/>
        </w:rPr>
        <w:t>把房屋使用安全管理与行业管理统一起来，</w:t>
      </w:r>
      <w:r>
        <w:rPr>
          <w:rFonts w:hint="eastAsia" w:ascii="仿宋_GB2312" w:hAnsi="Calibri" w:eastAsia="仿宋_GB2312"/>
          <w:sz w:val="32"/>
          <w:szCs w:val="32"/>
        </w:rPr>
        <w:t>规定行业主管部门“应当遵循管行业即应管安全的要求，按照职责督促其行业管理范围内人员密集场所的房屋使用安全责任人定期进行房屋安全检查，及时消除安全隐患”</w:t>
      </w:r>
      <w:r>
        <w:rPr>
          <w:rFonts w:hint="eastAsia" w:ascii="仿宋_GB2312" w:eastAsia="仿宋_GB2312"/>
          <w:sz w:val="32"/>
          <w:szCs w:val="32"/>
        </w:rPr>
        <w:t>。通过以上规定，将房屋使用安全管理的职责明晰化、固定化，以规范的形式推动构建负责任的管理体制和机制。</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（三）关于房屋使用安全的责任和管理</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rPr>
        <w:t>《条例》充实和</w:t>
      </w:r>
      <w:r>
        <w:rPr>
          <w:rFonts w:hint="eastAsia" w:ascii="仿宋_GB2312" w:eastAsia="仿宋_GB2312"/>
          <w:sz w:val="32"/>
          <w:szCs w:val="32"/>
        </w:rPr>
        <w:t>细化了关于房屋使用安全的责任和管理的规定：</w:t>
      </w:r>
      <w:r>
        <w:rPr>
          <w:rFonts w:hint="eastAsia" w:ascii="仿宋_GB2312" w:eastAsia="仿宋_GB2312"/>
          <w:b/>
          <w:sz w:val="32"/>
          <w:szCs w:val="32"/>
        </w:rPr>
        <w:t>一是</w:t>
      </w:r>
      <w:r>
        <w:rPr>
          <w:rFonts w:hint="eastAsia" w:ascii="仿宋_GB2312" w:eastAsia="仿宋_GB2312"/>
          <w:sz w:val="32"/>
          <w:szCs w:val="32"/>
        </w:rPr>
        <w:t>第六条和第七条分别明确了房屋使用安全的责任人和责任人应当承担的房屋使用安全责任；</w:t>
      </w:r>
      <w:r>
        <w:rPr>
          <w:rFonts w:hint="eastAsia" w:ascii="仿宋_GB2312" w:eastAsia="仿宋_GB2312"/>
          <w:b/>
          <w:sz w:val="32"/>
          <w:szCs w:val="32"/>
        </w:rPr>
        <w:t>二是</w:t>
      </w:r>
      <w:r>
        <w:rPr>
          <w:rFonts w:hint="eastAsia" w:ascii="仿宋_GB2312" w:eastAsia="仿宋_GB2312"/>
          <w:sz w:val="32"/>
          <w:szCs w:val="32"/>
        </w:rPr>
        <w:t>第十条遵循属地原则，把管理下沉，对基层政府、负有管理职责的机构和组织开展日常巡查、网格化管理等作出规定，以促进房屋使用安全管理的常态化；</w:t>
      </w:r>
      <w:r>
        <w:rPr>
          <w:rFonts w:hint="eastAsia" w:ascii="仿宋_GB2312" w:eastAsia="仿宋_GB2312"/>
          <w:b/>
          <w:sz w:val="32"/>
          <w:szCs w:val="32"/>
        </w:rPr>
        <w:t>三是</w:t>
      </w:r>
      <w:r>
        <w:rPr>
          <w:rFonts w:hint="eastAsia" w:ascii="仿宋_GB2312" w:eastAsia="仿宋_GB2312"/>
          <w:sz w:val="32"/>
          <w:szCs w:val="32"/>
        </w:rPr>
        <w:t>第十二条细化了工程施工对周边房屋影响的管理，规定建设单位应当在施工前对周边房屋完损情况进行调查，以及需要进行房屋结构安全影响评估的几种情形，以强化安全防范；</w:t>
      </w:r>
      <w:r>
        <w:rPr>
          <w:rFonts w:hint="eastAsia" w:ascii="仿宋_GB2312" w:eastAsia="仿宋_GB2312"/>
          <w:b/>
          <w:sz w:val="32"/>
          <w:szCs w:val="32"/>
        </w:rPr>
        <w:t>四是</w:t>
      </w:r>
      <w:r>
        <w:rPr>
          <w:rFonts w:hint="eastAsia" w:ascii="仿宋_GB2312" w:eastAsia="仿宋_GB2312"/>
          <w:sz w:val="32"/>
          <w:szCs w:val="32"/>
        </w:rPr>
        <w:t>第十五条明确建立房屋使用安全诚信档案，并依法纳入统一的信用信息共享平台管理，以引导、督促房屋使用安全涉及的责任主体诚实守信、自觉守法，履行法定的房屋使用安全职责义务；</w:t>
      </w:r>
      <w:r>
        <w:rPr>
          <w:rFonts w:hint="eastAsia" w:ascii="仿宋_GB2312" w:eastAsia="仿宋_GB2312"/>
          <w:b/>
          <w:sz w:val="32"/>
          <w:szCs w:val="32"/>
        </w:rPr>
        <w:t>五是</w:t>
      </w:r>
      <w:r>
        <w:rPr>
          <w:rFonts w:hint="eastAsia" w:ascii="仿宋_GB2312" w:eastAsia="仿宋_GB2312"/>
          <w:sz w:val="32"/>
          <w:szCs w:val="32"/>
        </w:rPr>
        <w:t>第十六条规定</w:t>
      </w:r>
      <w:r>
        <w:rPr>
          <w:rFonts w:hint="eastAsia" w:ascii="仿宋_GB2312" w:hAnsi="仿宋_GB2312" w:eastAsia="仿宋_GB2312" w:cs="仿宋_GB2312"/>
          <w:sz w:val="32"/>
          <w:szCs w:val="32"/>
        </w:rPr>
        <w:t>鼓励建立商业保险、风险资金等相结合的房屋使用安全风险保障机制，促进社会参与，</w:t>
      </w:r>
      <w:r>
        <w:rPr>
          <w:rFonts w:hint="eastAsia" w:ascii="仿宋_GB2312" w:eastAsia="仿宋_GB2312"/>
          <w:sz w:val="32"/>
          <w:szCs w:val="32"/>
        </w:rPr>
        <w:t>多渠道、多形式保障房屋使用安全。</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（四）关于房屋安全鉴定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2012年12月国家取消房屋安全鉴定费，房屋安全鉴定业务实行市场化、专业化，但国家住房和城乡建设主管部门对其服务监管无相应法律、法规进行规范，从事房屋安全鉴定的机构无市场准入条件和相应行为规范，有的以取得房屋安全检测资质承接鉴定业务，不配备专业的技术人员和设施设备，竞争无序、市场混乱，出具虚假鉴定报告等时有发生，难以真实准确地掌握房屋安全情况，影响危险房屋治理，导致安全隐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《条例》顺应深化房屋使用安全管理“放管服”改革实际需要和房屋安全鉴定市场化趋势，</w:t>
      </w:r>
      <w:r>
        <w:rPr>
          <w:rFonts w:hint="eastAsia" w:ascii="仿宋_GB2312" w:hAnsi="黑体" w:eastAsia="仿宋_GB2312"/>
          <w:sz w:val="32"/>
          <w:szCs w:val="32"/>
        </w:rPr>
        <w:t>坚持加强事中、事后监管，促进市场公平竞争环境建设，根据《建设工程质量管理条例》，结合建设部《建设工程质量检测管理办法》等规定，</w:t>
      </w:r>
      <w:r>
        <w:rPr>
          <w:rFonts w:hint="eastAsia" w:ascii="仿宋_GB2312" w:eastAsia="仿宋_GB2312"/>
          <w:sz w:val="32"/>
          <w:szCs w:val="32"/>
        </w:rPr>
        <w:t>对房屋安全鉴定机构及其鉴定活动作出了明确而具体的规定，着力引导、推动房屋安全鉴定工作健康有序发展：</w:t>
      </w:r>
      <w:r>
        <w:rPr>
          <w:rFonts w:hint="eastAsia" w:ascii="仿宋_GB2312" w:eastAsia="仿宋_GB2312"/>
          <w:b/>
          <w:sz w:val="32"/>
          <w:szCs w:val="32"/>
        </w:rPr>
        <w:t>一是</w:t>
      </w:r>
      <w:r>
        <w:rPr>
          <w:rFonts w:hint="eastAsia" w:ascii="仿宋_GB2312" w:eastAsia="仿宋_GB2312"/>
          <w:sz w:val="32"/>
          <w:szCs w:val="32"/>
        </w:rPr>
        <w:t>第十七条规定从事房屋安全鉴定的机构应当具备必要的条件，即“具有独立法人资格、符合建设工程质量专项检测机构资质标准”，以明确的规范净化鉴定市场，防止市场乱象的发生；</w:t>
      </w:r>
      <w:r>
        <w:rPr>
          <w:rFonts w:hint="eastAsia" w:ascii="仿宋_GB2312" w:eastAsia="仿宋_GB2312"/>
          <w:b/>
          <w:sz w:val="32"/>
          <w:szCs w:val="32"/>
        </w:rPr>
        <w:t>二是</w:t>
      </w:r>
      <w:r>
        <w:rPr>
          <w:rFonts w:hint="eastAsia" w:ascii="仿宋_GB2312" w:eastAsia="仿宋_GB2312"/>
          <w:sz w:val="32"/>
          <w:szCs w:val="32"/>
        </w:rPr>
        <w:t>第十八条</w:t>
      </w:r>
      <w:r>
        <w:rPr>
          <w:rFonts w:hint="eastAsia" w:ascii="仿宋_GB2312" w:hAnsi="Calibri" w:eastAsia="仿宋_GB2312"/>
          <w:sz w:val="32"/>
          <w:szCs w:val="32"/>
        </w:rPr>
        <w:t>充实和细化了鉴定机构进行房屋安全鉴定的规范要求、工作程序、报告要件以及对鉴定活动的管理</w:t>
      </w:r>
      <w:r>
        <w:rPr>
          <w:rFonts w:hint="eastAsia" w:ascii="仿宋_GB2312" w:hAnsi="仿宋_GB2312" w:eastAsia="仿宋_GB2312" w:cs="仿宋_GB2312"/>
          <w:sz w:val="32"/>
          <w:szCs w:val="32"/>
        </w:rPr>
        <w:t>措施</w:t>
      </w:r>
      <w:r>
        <w:rPr>
          <w:rFonts w:hint="eastAsia" w:ascii="仿宋_GB2312" w:hAnsi="Calibri" w:eastAsia="仿宋_GB2312"/>
          <w:sz w:val="32"/>
          <w:szCs w:val="32"/>
        </w:rPr>
        <w:t>，多角度保证</w:t>
      </w:r>
      <w:r>
        <w:rPr>
          <w:rFonts w:hint="eastAsia" w:ascii="仿宋_GB2312" w:eastAsia="仿宋_GB2312"/>
          <w:sz w:val="32"/>
          <w:szCs w:val="32"/>
        </w:rPr>
        <w:t>鉴定机构出具的鉴定报告</w:t>
      </w:r>
      <w:r>
        <w:rPr>
          <w:rFonts w:hint="eastAsia" w:ascii="仿宋_GB2312" w:hAnsi="Calibri" w:eastAsia="仿宋_GB2312"/>
          <w:sz w:val="32"/>
          <w:szCs w:val="32"/>
        </w:rPr>
        <w:t>的真实性、准确性、专业性和权威性，确保房屋使用的安全性以及房屋安全隐患治理的针对性；</w:t>
      </w:r>
      <w:r>
        <w:rPr>
          <w:rFonts w:hint="eastAsia" w:ascii="仿宋_GB2312" w:hAnsi="Calibri" w:eastAsia="仿宋_GB2312"/>
          <w:b/>
          <w:bCs/>
          <w:sz w:val="32"/>
          <w:szCs w:val="32"/>
        </w:rPr>
        <w:t>三是</w:t>
      </w:r>
      <w:r>
        <w:rPr>
          <w:rFonts w:hint="eastAsia" w:ascii="仿宋_GB2312" w:eastAsia="仿宋_GB2312"/>
          <w:sz w:val="32"/>
          <w:szCs w:val="32"/>
        </w:rPr>
        <w:t>第二十二条规定了房屋安全鉴定结论的异议复核申请的渠道和程序，以补齐实际存在的异议救济途径不明而不利于保障相关当事人合法权益的短板。</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（五）关于危房处置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针对现实存在的危险房屋处置措施不够明确具体，相关责任人不配合治理工作，拒不迁出需停止使用和整体拆除的危险房屋等问题，《条例》第二十七和第二十八条在保障当事人权益的基础上，规定了相应的处置措施，如停止房屋使用，优先纳入旧城改造范围，申请在原址按原面积拆除重建等。</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（六）关于法律责任</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rPr>
        <w:t>1.法律责任主要依据国务院《建设工程质量管理条例》，并参照住建部《危险性较大的分部分项工程安全管理规定》和《建设工程质量检测管理办法》等进行规定。</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2.结合2017年贵阳市行政执法体制改革，住建领域的行政处罚权已调整由综合行政执法部门实施的实际，对涉及的执法主体进行了调整。</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以上说明，连同《条例》，请一并审议。</w:t>
      </w:r>
    </w:p>
    <w:sectPr>
      <w:footerReference r:id="rId3" w:type="default"/>
      <w:footerReference r:id="rId4" w:type="even"/>
      <w:pgSz w:w="11906" w:h="16838"/>
      <w:pgMar w:top="1701" w:right="1701" w:bottom="1701" w:left="1701"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auto"/>
    <w:pitch w:val="default"/>
    <w:sig w:usb0="00000000" w:usb1="00000000" w:usb2="00000000" w:usb3="00000000" w:csb0="00000001" w:csb1="00000000"/>
  </w:font>
  <w:font w:name="font4-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9401105"/>
    </w:sdt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184649"/>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20 -</w:t>
        </w:r>
        <w:r>
          <w:rPr>
            <w:rFonts w:asciiTheme="minorEastAsia" w:hAnsiTheme="minorEastAsia" w:eastAsia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9A"/>
    <w:rsid w:val="00011A42"/>
    <w:rsid w:val="00030526"/>
    <w:rsid w:val="00042752"/>
    <w:rsid w:val="00045342"/>
    <w:rsid w:val="00045881"/>
    <w:rsid w:val="00047384"/>
    <w:rsid w:val="00072C55"/>
    <w:rsid w:val="000857BF"/>
    <w:rsid w:val="000A26D5"/>
    <w:rsid w:val="000A393C"/>
    <w:rsid w:val="000A61D5"/>
    <w:rsid w:val="000B1E1F"/>
    <w:rsid w:val="000D6398"/>
    <w:rsid w:val="000D6473"/>
    <w:rsid w:val="000D64E3"/>
    <w:rsid w:val="00147B7C"/>
    <w:rsid w:val="00155BE3"/>
    <w:rsid w:val="00184492"/>
    <w:rsid w:val="00185099"/>
    <w:rsid w:val="00192BCC"/>
    <w:rsid w:val="001A40F2"/>
    <w:rsid w:val="001E0176"/>
    <w:rsid w:val="002071AA"/>
    <w:rsid w:val="00223BFB"/>
    <w:rsid w:val="002322AD"/>
    <w:rsid w:val="00233CAB"/>
    <w:rsid w:val="00245866"/>
    <w:rsid w:val="00263F12"/>
    <w:rsid w:val="00270D3F"/>
    <w:rsid w:val="00277000"/>
    <w:rsid w:val="002871EF"/>
    <w:rsid w:val="00295A97"/>
    <w:rsid w:val="002A09EA"/>
    <w:rsid w:val="002A49E2"/>
    <w:rsid w:val="002B1761"/>
    <w:rsid w:val="002C1050"/>
    <w:rsid w:val="002C11E7"/>
    <w:rsid w:val="002C5A28"/>
    <w:rsid w:val="002C75A1"/>
    <w:rsid w:val="002D689F"/>
    <w:rsid w:val="002E3EED"/>
    <w:rsid w:val="002F0531"/>
    <w:rsid w:val="002F068C"/>
    <w:rsid w:val="002F7B46"/>
    <w:rsid w:val="00311C57"/>
    <w:rsid w:val="00311FD0"/>
    <w:rsid w:val="0032328C"/>
    <w:rsid w:val="0032460D"/>
    <w:rsid w:val="00326C6A"/>
    <w:rsid w:val="00331A22"/>
    <w:rsid w:val="00341C28"/>
    <w:rsid w:val="00342CC3"/>
    <w:rsid w:val="00356F6D"/>
    <w:rsid w:val="00362FFE"/>
    <w:rsid w:val="00380220"/>
    <w:rsid w:val="00380C06"/>
    <w:rsid w:val="00380FE4"/>
    <w:rsid w:val="003971F8"/>
    <w:rsid w:val="003A35C0"/>
    <w:rsid w:val="003A3E2F"/>
    <w:rsid w:val="003A7013"/>
    <w:rsid w:val="003B2036"/>
    <w:rsid w:val="003B5F17"/>
    <w:rsid w:val="003D0D92"/>
    <w:rsid w:val="003E720A"/>
    <w:rsid w:val="003F6293"/>
    <w:rsid w:val="003F7313"/>
    <w:rsid w:val="004008E3"/>
    <w:rsid w:val="00416DFF"/>
    <w:rsid w:val="00434DBB"/>
    <w:rsid w:val="0044228A"/>
    <w:rsid w:val="004423B6"/>
    <w:rsid w:val="00464200"/>
    <w:rsid w:val="00464D5C"/>
    <w:rsid w:val="00466E5A"/>
    <w:rsid w:val="0048323C"/>
    <w:rsid w:val="004A34C7"/>
    <w:rsid w:val="004B241D"/>
    <w:rsid w:val="004B4F4F"/>
    <w:rsid w:val="004D06CA"/>
    <w:rsid w:val="004D2CCF"/>
    <w:rsid w:val="00510088"/>
    <w:rsid w:val="00514BD4"/>
    <w:rsid w:val="0052471A"/>
    <w:rsid w:val="00534BDB"/>
    <w:rsid w:val="005357D8"/>
    <w:rsid w:val="005373A0"/>
    <w:rsid w:val="005429BE"/>
    <w:rsid w:val="00553F52"/>
    <w:rsid w:val="005559E2"/>
    <w:rsid w:val="00556B77"/>
    <w:rsid w:val="0056259F"/>
    <w:rsid w:val="005645E4"/>
    <w:rsid w:val="00565BBD"/>
    <w:rsid w:val="00573919"/>
    <w:rsid w:val="0058656D"/>
    <w:rsid w:val="0058760A"/>
    <w:rsid w:val="00593D24"/>
    <w:rsid w:val="005A16C8"/>
    <w:rsid w:val="005A787E"/>
    <w:rsid w:val="005B53B3"/>
    <w:rsid w:val="005C3C89"/>
    <w:rsid w:val="005C508C"/>
    <w:rsid w:val="005D35BF"/>
    <w:rsid w:val="005D65C0"/>
    <w:rsid w:val="00623678"/>
    <w:rsid w:val="00627B82"/>
    <w:rsid w:val="0064352A"/>
    <w:rsid w:val="006443A3"/>
    <w:rsid w:val="00650880"/>
    <w:rsid w:val="00650F82"/>
    <w:rsid w:val="00652A89"/>
    <w:rsid w:val="0065687D"/>
    <w:rsid w:val="00674A02"/>
    <w:rsid w:val="00675503"/>
    <w:rsid w:val="00675DC4"/>
    <w:rsid w:val="0067672F"/>
    <w:rsid w:val="00683144"/>
    <w:rsid w:val="00697432"/>
    <w:rsid w:val="006B1113"/>
    <w:rsid w:val="006B4CFF"/>
    <w:rsid w:val="006C1610"/>
    <w:rsid w:val="006C4EB9"/>
    <w:rsid w:val="006D541E"/>
    <w:rsid w:val="006E37D1"/>
    <w:rsid w:val="006E74C0"/>
    <w:rsid w:val="00700284"/>
    <w:rsid w:val="0073299E"/>
    <w:rsid w:val="00743B06"/>
    <w:rsid w:val="00777E53"/>
    <w:rsid w:val="00785982"/>
    <w:rsid w:val="007900CD"/>
    <w:rsid w:val="00792409"/>
    <w:rsid w:val="007C05EC"/>
    <w:rsid w:val="007C682C"/>
    <w:rsid w:val="007D3DB2"/>
    <w:rsid w:val="007D4368"/>
    <w:rsid w:val="007D66F7"/>
    <w:rsid w:val="007E2F1C"/>
    <w:rsid w:val="007E3E1F"/>
    <w:rsid w:val="007F0300"/>
    <w:rsid w:val="007F0C3C"/>
    <w:rsid w:val="00804BEE"/>
    <w:rsid w:val="00815A05"/>
    <w:rsid w:val="008272CB"/>
    <w:rsid w:val="00857D64"/>
    <w:rsid w:val="0086059A"/>
    <w:rsid w:val="00866D0B"/>
    <w:rsid w:val="0087208F"/>
    <w:rsid w:val="00872685"/>
    <w:rsid w:val="0088707D"/>
    <w:rsid w:val="008A0459"/>
    <w:rsid w:val="008C6153"/>
    <w:rsid w:val="008F13D4"/>
    <w:rsid w:val="00923C4E"/>
    <w:rsid w:val="00927DB9"/>
    <w:rsid w:val="009325CC"/>
    <w:rsid w:val="00933FCE"/>
    <w:rsid w:val="00953BC8"/>
    <w:rsid w:val="00962497"/>
    <w:rsid w:val="00967F92"/>
    <w:rsid w:val="009741D6"/>
    <w:rsid w:val="009900B9"/>
    <w:rsid w:val="00990BD4"/>
    <w:rsid w:val="0099191E"/>
    <w:rsid w:val="0099200E"/>
    <w:rsid w:val="00992F65"/>
    <w:rsid w:val="00996096"/>
    <w:rsid w:val="009A6101"/>
    <w:rsid w:val="009B2144"/>
    <w:rsid w:val="009B7E4D"/>
    <w:rsid w:val="009F36A1"/>
    <w:rsid w:val="00A01F40"/>
    <w:rsid w:val="00A079BD"/>
    <w:rsid w:val="00A3158E"/>
    <w:rsid w:val="00A3787D"/>
    <w:rsid w:val="00A414B0"/>
    <w:rsid w:val="00A728D9"/>
    <w:rsid w:val="00A95DA3"/>
    <w:rsid w:val="00AD3964"/>
    <w:rsid w:val="00AE163A"/>
    <w:rsid w:val="00B036C1"/>
    <w:rsid w:val="00B038B3"/>
    <w:rsid w:val="00B111E3"/>
    <w:rsid w:val="00B16139"/>
    <w:rsid w:val="00B36FC7"/>
    <w:rsid w:val="00B50017"/>
    <w:rsid w:val="00B70DDD"/>
    <w:rsid w:val="00B76AB9"/>
    <w:rsid w:val="00B827AF"/>
    <w:rsid w:val="00B8782A"/>
    <w:rsid w:val="00B926CD"/>
    <w:rsid w:val="00B9545D"/>
    <w:rsid w:val="00BA4B94"/>
    <w:rsid w:val="00BA51F2"/>
    <w:rsid w:val="00BB1277"/>
    <w:rsid w:val="00BB749C"/>
    <w:rsid w:val="00BC30F8"/>
    <w:rsid w:val="00BC72A4"/>
    <w:rsid w:val="00BE4325"/>
    <w:rsid w:val="00BE76D3"/>
    <w:rsid w:val="00BE7C2A"/>
    <w:rsid w:val="00C012C5"/>
    <w:rsid w:val="00C13228"/>
    <w:rsid w:val="00C36B97"/>
    <w:rsid w:val="00C75139"/>
    <w:rsid w:val="00C75E0B"/>
    <w:rsid w:val="00C7749A"/>
    <w:rsid w:val="00C817D6"/>
    <w:rsid w:val="00C863C2"/>
    <w:rsid w:val="00C93BF2"/>
    <w:rsid w:val="00C95838"/>
    <w:rsid w:val="00CA1D8E"/>
    <w:rsid w:val="00CA3EA6"/>
    <w:rsid w:val="00CA52AF"/>
    <w:rsid w:val="00CB6E0D"/>
    <w:rsid w:val="00CB7F67"/>
    <w:rsid w:val="00CC5B05"/>
    <w:rsid w:val="00CC72CE"/>
    <w:rsid w:val="00CD5BDE"/>
    <w:rsid w:val="00CE187A"/>
    <w:rsid w:val="00CF0B5A"/>
    <w:rsid w:val="00D1448E"/>
    <w:rsid w:val="00D1563B"/>
    <w:rsid w:val="00D266B4"/>
    <w:rsid w:val="00D30387"/>
    <w:rsid w:val="00D34997"/>
    <w:rsid w:val="00D34D5A"/>
    <w:rsid w:val="00D41E60"/>
    <w:rsid w:val="00D43C7F"/>
    <w:rsid w:val="00D62911"/>
    <w:rsid w:val="00D92FD9"/>
    <w:rsid w:val="00D9465A"/>
    <w:rsid w:val="00DB2481"/>
    <w:rsid w:val="00DC51A4"/>
    <w:rsid w:val="00DD5F15"/>
    <w:rsid w:val="00E01C89"/>
    <w:rsid w:val="00E02459"/>
    <w:rsid w:val="00E042D9"/>
    <w:rsid w:val="00E13624"/>
    <w:rsid w:val="00E15C63"/>
    <w:rsid w:val="00E163EC"/>
    <w:rsid w:val="00E20BEC"/>
    <w:rsid w:val="00E24443"/>
    <w:rsid w:val="00E37230"/>
    <w:rsid w:val="00E6091C"/>
    <w:rsid w:val="00E6440B"/>
    <w:rsid w:val="00E773B7"/>
    <w:rsid w:val="00E82DE6"/>
    <w:rsid w:val="00E87413"/>
    <w:rsid w:val="00E95931"/>
    <w:rsid w:val="00EA042A"/>
    <w:rsid w:val="00EA1B70"/>
    <w:rsid w:val="00ED3B91"/>
    <w:rsid w:val="00ED6DC6"/>
    <w:rsid w:val="00EE0594"/>
    <w:rsid w:val="00EF4E35"/>
    <w:rsid w:val="00F05ED3"/>
    <w:rsid w:val="00F1728A"/>
    <w:rsid w:val="00F20B75"/>
    <w:rsid w:val="00F23164"/>
    <w:rsid w:val="00F303FE"/>
    <w:rsid w:val="00F32BF1"/>
    <w:rsid w:val="00F47264"/>
    <w:rsid w:val="00F639E4"/>
    <w:rsid w:val="00F64F96"/>
    <w:rsid w:val="00F979C4"/>
    <w:rsid w:val="00FA30DD"/>
    <w:rsid w:val="00FA42DE"/>
    <w:rsid w:val="00FB1C8D"/>
    <w:rsid w:val="00FC2150"/>
    <w:rsid w:val="00FC6A0B"/>
    <w:rsid w:val="00FE18C0"/>
    <w:rsid w:val="00FE4550"/>
    <w:rsid w:val="00FE4CCF"/>
    <w:rsid w:val="00FF4072"/>
    <w:rsid w:val="011A5494"/>
    <w:rsid w:val="01246A6C"/>
    <w:rsid w:val="01374E70"/>
    <w:rsid w:val="01484278"/>
    <w:rsid w:val="017874F9"/>
    <w:rsid w:val="01B11F70"/>
    <w:rsid w:val="02190075"/>
    <w:rsid w:val="023A3EDE"/>
    <w:rsid w:val="0269322A"/>
    <w:rsid w:val="030935F8"/>
    <w:rsid w:val="031050D7"/>
    <w:rsid w:val="03294823"/>
    <w:rsid w:val="034132C3"/>
    <w:rsid w:val="03700092"/>
    <w:rsid w:val="03A83F5E"/>
    <w:rsid w:val="04331B16"/>
    <w:rsid w:val="046A618B"/>
    <w:rsid w:val="04D71B3C"/>
    <w:rsid w:val="051D2060"/>
    <w:rsid w:val="05804852"/>
    <w:rsid w:val="05863D33"/>
    <w:rsid w:val="05A23F98"/>
    <w:rsid w:val="05CF159C"/>
    <w:rsid w:val="063E3EC5"/>
    <w:rsid w:val="06776F82"/>
    <w:rsid w:val="06777DB4"/>
    <w:rsid w:val="06C82DE7"/>
    <w:rsid w:val="06CB296E"/>
    <w:rsid w:val="07041125"/>
    <w:rsid w:val="070F4148"/>
    <w:rsid w:val="07226377"/>
    <w:rsid w:val="07486C4B"/>
    <w:rsid w:val="074E3F3B"/>
    <w:rsid w:val="079B1990"/>
    <w:rsid w:val="07A87BB8"/>
    <w:rsid w:val="07F30808"/>
    <w:rsid w:val="09105E23"/>
    <w:rsid w:val="098D2902"/>
    <w:rsid w:val="09AD4E92"/>
    <w:rsid w:val="09AF1339"/>
    <w:rsid w:val="09BD6CE2"/>
    <w:rsid w:val="09D2633E"/>
    <w:rsid w:val="09E0606A"/>
    <w:rsid w:val="09F92BE0"/>
    <w:rsid w:val="0A201979"/>
    <w:rsid w:val="0A8D30B5"/>
    <w:rsid w:val="0ABD27C1"/>
    <w:rsid w:val="0B3857C7"/>
    <w:rsid w:val="0B4629EB"/>
    <w:rsid w:val="0B90657E"/>
    <w:rsid w:val="0BA363D0"/>
    <w:rsid w:val="0BC95931"/>
    <w:rsid w:val="0C012E76"/>
    <w:rsid w:val="0C0246F4"/>
    <w:rsid w:val="0C635346"/>
    <w:rsid w:val="0C65072D"/>
    <w:rsid w:val="0C733C03"/>
    <w:rsid w:val="0C9918C6"/>
    <w:rsid w:val="0CB257C0"/>
    <w:rsid w:val="0CEF4E41"/>
    <w:rsid w:val="0D244963"/>
    <w:rsid w:val="0D2F10F8"/>
    <w:rsid w:val="0D9C551A"/>
    <w:rsid w:val="0DA67F6B"/>
    <w:rsid w:val="0DA971FD"/>
    <w:rsid w:val="0DD62289"/>
    <w:rsid w:val="0E131FA4"/>
    <w:rsid w:val="0E90521F"/>
    <w:rsid w:val="0ED22C10"/>
    <w:rsid w:val="0EE34D38"/>
    <w:rsid w:val="0EE63AD7"/>
    <w:rsid w:val="0EF65939"/>
    <w:rsid w:val="0F8046EB"/>
    <w:rsid w:val="0F8D1381"/>
    <w:rsid w:val="0FF972BA"/>
    <w:rsid w:val="1009466F"/>
    <w:rsid w:val="10327FBF"/>
    <w:rsid w:val="10855B62"/>
    <w:rsid w:val="10900ED1"/>
    <w:rsid w:val="109923C8"/>
    <w:rsid w:val="10A17231"/>
    <w:rsid w:val="10CF1233"/>
    <w:rsid w:val="11285129"/>
    <w:rsid w:val="11511B36"/>
    <w:rsid w:val="117856D6"/>
    <w:rsid w:val="11902FB8"/>
    <w:rsid w:val="12337418"/>
    <w:rsid w:val="12D17D86"/>
    <w:rsid w:val="12ED1126"/>
    <w:rsid w:val="12FE660D"/>
    <w:rsid w:val="1319746D"/>
    <w:rsid w:val="136974F2"/>
    <w:rsid w:val="14110085"/>
    <w:rsid w:val="14167422"/>
    <w:rsid w:val="142F19D3"/>
    <w:rsid w:val="146F76BD"/>
    <w:rsid w:val="149A0CD8"/>
    <w:rsid w:val="14A17234"/>
    <w:rsid w:val="14CF1CC8"/>
    <w:rsid w:val="150443ED"/>
    <w:rsid w:val="15227CDC"/>
    <w:rsid w:val="15326B2E"/>
    <w:rsid w:val="15446A2F"/>
    <w:rsid w:val="159F5EB5"/>
    <w:rsid w:val="15A845D8"/>
    <w:rsid w:val="15D002ED"/>
    <w:rsid w:val="161508E0"/>
    <w:rsid w:val="167879A0"/>
    <w:rsid w:val="16AF4599"/>
    <w:rsid w:val="16FF2729"/>
    <w:rsid w:val="17627983"/>
    <w:rsid w:val="179C5A2D"/>
    <w:rsid w:val="17C92FA8"/>
    <w:rsid w:val="17DB7E49"/>
    <w:rsid w:val="17E07A13"/>
    <w:rsid w:val="17FB4F44"/>
    <w:rsid w:val="18585E23"/>
    <w:rsid w:val="185931E4"/>
    <w:rsid w:val="18CC15C3"/>
    <w:rsid w:val="18DD0D2E"/>
    <w:rsid w:val="18F94412"/>
    <w:rsid w:val="196B543E"/>
    <w:rsid w:val="19845BB0"/>
    <w:rsid w:val="19A624B3"/>
    <w:rsid w:val="19A82FE5"/>
    <w:rsid w:val="19AE5F1A"/>
    <w:rsid w:val="19F879E0"/>
    <w:rsid w:val="1A1E10A1"/>
    <w:rsid w:val="1A2E1A4C"/>
    <w:rsid w:val="1A3F4BF7"/>
    <w:rsid w:val="1A436AE5"/>
    <w:rsid w:val="1A495095"/>
    <w:rsid w:val="1A4C1C80"/>
    <w:rsid w:val="1A8170AD"/>
    <w:rsid w:val="1A95292B"/>
    <w:rsid w:val="1ACA74D4"/>
    <w:rsid w:val="1AD1446D"/>
    <w:rsid w:val="1AFE189F"/>
    <w:rsid w:val="1AFE605D"/>
    <w:rsid w:val="1AFF1CAC"/>
    <w:rsid w:val="1B017D68"/>
    <w:rsid w:val="1B0362C8"/>
    <w:rsid w:val="1B442E53"/>
    <w:rsid w:val="1B7D5CF8"/>
    <w:rsid w:val="1B8F7946"/>
    <w:rsid w:val="1BB77EDD"/>
    <w:rsid w:val="1BE7672E"/>
    <w:rsid w:val="1C0773A4"/>
    <w:rsid w:val="1CA85201"/>
    <w:rsid w:val="1CB614F8"/>
    <w:rsid w:val="1CCE3314"/>
    <w:rsid w:val="1CF67E0A"/>
    <w:rsid w:val="1DA94176"/>
    <w:rsid w:val="1DEE3F20"/>
    <w:rsid w:val="1E395295"/>
    <w:rsid w:val="1E6C3569"/>
    <w:rsid w:val="1E952CCC"/>
    <w:rsid w:val="1EA86FEF"/>
    <w:rsid w:val="1F5F6884"/>
    <w:rsid w:val="1FAF6335"/>
    <w:rsid w:val="1FD54675"/>
    <w:rsid w:val="1FDB28AF"/>
    <w:rsid w:val="1FEE0F42"/>
    <w:rsid w:val="203C09A0"/>
    <w:rsid w:val="20FF6D5D"/>
    <w:rsid w:val="211B3B74"/>
    <w:rsid w:val="21204C07"/>
    <w:rsid w:val="212F11C5"/>
    <w:rsid w:val="21366ED1"/>
    <w:rsid w:val="2148111B"/>
    <w:rsid w:val="218C0817"/>
    <w:rsid w:val="21AB3E47"/>
    <w:rsid w:val="22001F04"/>
    <w:rsid w:val="225105AD"/>
    <w:rsid w:val="22627DC7"/>
    <w:rsid w:val="22756A17"/>
    <w:rsid w:val="2283541C"/>
    <w:rsid w:val="232A1917"/>
    <w:rsid w:val="23644302"/>
    <w:rsid w:val="239C43DF"/>
    <w:rsid w:val="23C36899"/>
    <w:rsid w:val="23C432E1"/>
    <w:rsid w:val="23C65E1E"/>
    <w:rsid w:val="24713794"/>
    <w:rsid w:val="24EB25F7"/>
    <w:rsid w:val="24FA74D1"/>
    <w:rsid w:val="25094D05"/>
    <w:rsid w:val="25530933"/>
    <w:rsid w:val="25AF22BA"/>
    <w:rsid w:val="25D30687"/>
    <w:rsid w:val="25FE6048"/>
    <w:rsid w:val="262948A6"/>
    <w:rsid w:val="26A61253"/>
    <w:rsid w:val="27040F64"/>
    <w:rsid w:val="270E3373"/>
    <w:rsid w:val="2723504F"/>
    <w:rsid w:val="27273105"/>
    <w:rsid w:val="27502C29"/>
    <w:rsid w:val="276E1CDF"/>
    <w:rsid w:val="27764599"/>
    <w:rsid w:val="27A354FE"/>
    <w:rsid w:val="28330118"/>
    <w:rsid w:val="287516E0"/>
    <w:rsid w:val="28BB43A9"/>
    <w:rsid w:val="28E53376"/>
    <w:rsid w:val="28EF783A"/>
    <w:rsid w:val="290610A1"/>
    <w:rsid w:val="29243264"/>
    <w:rsid w:val="293916D4"/>
    <w:rsid w:val="29692415"/>
    <w:rsid w:val="29994D0D"/>
    <w:rsid w:val="299B6F9F"/>
    <w:rsid w:val="29C054D7"/>
    <w:rsid w:val="29E065E5"/>
    <w:rsid w:val="29FD6D3C"/>
    <w:rsid w:val="2A1805EA"/>
    <w:rsid w:val="2A2030AE"/>
    <w:rsid w:val="2A205627"/>
    <w:rsid w:val="2A84302F"/>
    <w:rsid w:val="2AAD23F3"/>
    <w:rsid w:val="2AB01FA8"/>
    <w:rsid w:val="2AEF361D"/>
    <w:rsid w:val="2B403581"/>
    <w:rsid w:val="2B5708E9"/>
    <w:rsid w:val="2BAF7795"/>
    <w:rsid w:val="2C084522"/>
    <w:rsid w:val="2C0E10A7"/>
    <w:rsid w:val="2C16352E"/>
    <w:rsid w:val="2C203067"/>
    <w:rsid w:val="2CB66DE9"/>
    <w:rsid w:val="2D336D05"/>
    <w:rsid w:val="2D571E25"/>
    <w:rsid w:val="2DE13EB0"/>
    <w:rsid w:val="2E4518BA"/>
    <w:rsid w:val="2E9451BA"/>
    <w:rsid w:val="2EF705B9"/>
    <w:rsid w:val="2F1A1FAF"/>
    <w:rsid w:val="2F3875AF"/>
    <w:rsid w:val="2F83431A"/>
    <w:rsid w:val="2F964BF6"/>
    <w:rsid w:val="2FA55A5A"/>
    <w:rsid w:val="2FC05662"/>
    <w:rsid w:val="300007BC"/>
    <w:rsid w:val="30404925"/>
    <w:rsid w:val="30BC0460"/>
    <w:rsid w:val="30BE5BEE"/>
    <w:rsid w:val="30DB2D01"/>
    <w:rsid w:val="30E4619B"/>
    <w:rsid w:val="30EE21D4"/>
    <w:rsid w:val="3141445A"/>
    <w:rsid w:val="3185568C"/>
    <w:rsid w:val="31AB5AA7"/>
    <w:rsid w:val="31B80B6C"/>
    <w:rsid w:val="31C33D90"/>
    <w:rsid w:val="32054C9F"/>
    <w:rsid w:val="32256D07"/>
    <w:rsid w:val="322D5CB1"/>
    <w:rsid w:val="323218AB"/>
    <w:rsid w:val="32497A18"/>
    <w:rsid w:val="325B2AC3"/>
    <w:rsid w:val="326E296F"/>
    <w:rsid w:val="334B6B0B"/>
    <w:rsid w:val="339B1BAD"/>
    <w:rsid w:val="33AF201B"/>
    <w:rsid w:val="344C7E2C"/>
    <w:rsid w:val="348F1A89"/>
    <w:rsid w:val="34FC122C"/>
    <w:rsid w:val="350B3A87"/>
    <w:rsid w:val="351670E0"/>
    <w:rsid w:val="35235F9E"/>
    <w:rsid w:val="353449E2"/>
    <w:rsid w:val="353728E0"/>
    <w:rsid w:val="35CC21C7"/>
    <w:rsid w:val="36103B69"/>
    <w:rsid w:val="36176FA1"/>
    <w:rsid w:val="367D1042"/>
    <w:rsid w:val="36A306C7"/>
    <w:rsid w:val="370B6ADD"/>
    <w:rsid w:val="372A2CDC"/>
    <w:rsid w:val="37762845"/>
    <w:rsid w:val="37A57876"/>
    <w:rsid w:val="37AE68E1"/>
    <w:rsid w:val="37E5269E"/>
    <w:rsid w:val="380A6459"/>
    <w:rsid w:val="3820772D"/>
    <w:rsid w:val="382A5023"/>
    <w:rsid w:val="38903F36"/>
    <w:rsid w:val="38BE67E9"/>
    <w:rsid w:val="38C55851"/>
    <w:rsid w:val="38D51B17"/>
    <w:rsid w:val="39471E63"/>
    <w:rsid w:val="39BB7608"/>
    <w:rsid w:val="3A7F16EF"/>
    <w:rsid w:val="3B911170"/>
    <w:rsid w:val="3B9D0823"/>
    <w:rsid w:val="3BBD4930"/>
    <w:rsid w:val="3BC77CB6"/>
    <w:rsid w:val="3BF068F2"/>
    <w:rsid w:val="3BFA4DDF"/>
    <w:rsid w:val="3BFF0B45"/>
    <w:rsid w:val="3C113723"/>
    <w:rsid w:val="3C45326D"/>
    <w:rsid w:val="3CA27D7F"/>
    <w:rsid w:val="3CA73E8C"/>
    <w:rsid w:val="3CA940B8"/>
    <w:rsid w:val="3CB75DA1"/>
    <w:rsid w:val="3CE35451"/>
    <w:rsid w:val="3D331A97"/>
    <w:rsid w:val="3D344B8C"/>
    <w:rsid w:val="3DFC284D"/>
    <w:rsid w:val="3E13665A"/>
    <w:rsid w:val="3E327C1C"/>
    <w:rsid w:val="3E5816B8"/>
    <w:rsid w:val="3E92627A"/>
    <w:rsid w:val="3ED15307"/>
    <w:rsid w:val="3F042B69"/>
    <w:rsid w:val="3F523B89"/>
    <w:rsid w:val="3F5A5829"/>
    <w:rsid w:val="3FFD210B"/>
    <w:rsid w:val="4065139C"/>
    <w:rsid w:val="40E42614"/>
    <w:rsid w:val="41163B36"/>
    <w:rsid w:val="420A6864"/>
    <w:rsid w:val="428300DB"/>
    <w:rsid w:val="42D051C9"/>
    <w:rsid w:val="42ED21D0"/>
    <w:rsid w:val="43120CA3"/>
    <w:rsid w:val="438C203D"/>
    <w:rsid w:val="44001173"/>
    <w:rsid w:val="4415635A"/>
    <w:rsid w:val="44165792"/>
    <w:rsid w:val="44CB622C"/>
    <w:rsid w:val="44EC4791"/>
    <w:rsid w:val="45015F71"/>
    <w:rsid w:val="4527411A"/>
    <w:rsid w:val="454E1081"/>
    <w:rsid w:val="45676E1D"/>
    <w:rsid w:val="45EE2DC9"/>
    <w:rsid w:val="462D1BA7"/>
    <w:rsid w:val="463F16D1"/>
    <w:rsid w:val="47964826"/>
    <w:rsid w:val="479A5AF9"/>
    <w:rsid w:val="47A22BCC"/>
    <w:rsid w:val="47D12A83"/>
    <w:rsid w:val="47FE7FAE"/>
    <w:rsid w:val="486B74D1"/>
    <w:rsid w:val="48A10AD0"/>
    <w:rsid w:val="48C07413"/>
    <w:rsid w:val="49045FC0"/>
    <w:rsid w:val="491023B1"/>
    <w:rsid w:val="492E453F"/>
    <w:rsid w:val="493C56BC"/>
    <w:rsid w:val="4941008E"/>
    <w:rsid w:val="494F18F5"/>
    <w:rsid w:val="497A3550"/>
    <w:rsid w:val="49D805F1"/>
    <w:rsid w:val="4A2B3006"/>
    <w:rsid w:val="4A7F15EB"/>
    <w:rsid w:val="4A88508C"/>
    <w:rsid w:val="4AB83739"/>
    <w:rsid w:val="4AED4F3A"/>
    <w:rsid w:val="4AEF4461"/>
    <w:rsid w:val="4BD70200"/>
    <w:rsid w:val="4C0E34B3"/>
    <w:rsid w:val="4C1A3DFA"/>
    <w:rsid w:val="4C390347"/>
    <w:rsid w:val="4C4F5D39"/>
    <w:rsid w:val="4CBE1791"/>
    <w:rsid w:val="4CD5000D"/>
    <w:rsid w:val="4CF7578A"/>
    <w:rsid w:val="4DD9787D"/>
    <w:rsid w:val="4DEE026A"/>
    <w:rsid w:val="4E087BB7"/>
    <w:rsid w:val="4E117D7D"/>
    <w:rsid w:val="4E472253"/>
    <w:rsid w:val="4EBD5EB9"/>
    <w:rsid w:val="4ECD7A4C"/>
    <w:rsid w:val="4EF87BDB"/>
    <w:rsid w:val="4F031E59"/>
    <w:rsid w:val="4F1C2E02"/>
    <w:rsid w:val="4F50716E"/>
    <w:rsid w:val="4F826DC8"/>
    <w:rsid w:val="4FAC1644"/>
    <w:rsid w:val="50557294"/>
    <w:rsid w:val="50957DCF"/>
    <w:rsid w:val="50C14C65"/>
    <w:rsid w:val="50C6490A"/>
    <w:rsid w:val="510760F2"/>
    <w:rsid w:val="512C7282"/>
    <w:rsid w:val="51A12525"/>
    <w:rsid w:val="521779EB"/>
    <w:rsid w:val="5245508D"/>
    <w:rsid w:val="53146C1B"/>
    <w:rsid w:val="533C7394"/>
    <w:rsid w:val="53801442"/>
    <w:rsid w:val="53882817"/>
    <w:rsid w:val="539B28EE"/>
    <w:rsid w:val="53B01FD2"/>
    <w:rsid w:val="53C85271"/>
    <w:rsid w:val="53E734D4"/>
    <w:rsid w:val="53F02C85"/>
    <w:rsid w:val="541E7ADE"/>
    <w:rsid w:val="543943F7"/>
    <w:rsid w:val="544D095B"/>
    <w:rsid w:val="548D4CEF"/>
    <w:rsid w:val="54E81003"/>
    <w:rsid w:val="5511446F"/>
    <w:rsid w:val="557E1875"/>
    <w:rsid w:val="55961A76"/>
    <w:rsid w:val="55BF09FF"/>
    <w:rsid w:val="5600291D"/>
    <w:rsid w:val="564A6A0E"/>
    <w:rsid w:val="568E0EFF"/>
    <w:rsid w:val="569B6EEC"/>
    <w:rsid w:val="56EF3BB6"/>
    <w:rsid w:val="56FE00B2"/>
    <w:rsid w:val="56FF09B2"/>
    <w:rsid w:val="5772540E"/>
    <w:rsid w:val="57AD278C"/>
    <w:rsid w:val="57D10414"/>
    <w:rsid w:val="57D71F97"/>
    <w:rsid w:val="58253AD3"/>
    <w:rsid w:val="5898725C"/>
    <w:rsid w:val="589A3700"/>
    <w:rsid w:val="58A35EEB"/>
    <w:rsid w:val="58B30A85"/>
    <w:rsid w:val="59080E58"/>
    <w:rsid w:val="590D2AC4"/>
    <w:rsid w:val="59577ECF"/>
    <w:rsid w:val="599F4561"/>
    <w:rsid w:val="59BE00AF"/>
    <w:rsid w:val="59E532EF"/>
    <w:rsid w:val="5A3619E2"/>
    <w:rsid w:val="5A3C52C7"/>
    <w:rsid w:val="5A774023"/>
    <w:rsid w:val="5A7B6928"/>
    <w:rsid w:val="5AF93217"/>
    <w:rsid w:val="5B0209BB"/>
    <w:rsid w:val="5B45616A"/>
    <w:rsid w:val="5BB165FC"/>
    <w:rsid w:val="5BB90248"/>
    <w:rsid w:val="5C185AB6"/>
    <w:rsid w:val="5C1B0F16"/>
    <w:rsid w:val="5C3F5AE9"/>
    <w:rsid w:val="5C4D72FB"/>
    <w:rsid w:val="5C743DAD"/>
    <w:rsid w:val="5C903E0B"/>
    <w:rsid w:val="5CB47C75"/>
    <w:rsid w:val="5CC92DD2"/>
    <w:rsid w:val="5D1A209F"/>
    <w:rsid w:val="5D9451F6"/>
    <w:rsid w:val="5DDE31A7"/>
    <w:rsid w:val="5E16538B"/>
    <w:rsid w:val="5E3246A8"/>
    <w:rsid w:val="5E3D6E38"/>
    <w:rsid w:val="5E5032CD"/>
    <w:rsid w:val="5EC71710"/>
    <w:rsid w:val="5F415508"/>
    <w:rsid w:val="5F9F6DE0"/>
    <w:rsid w:val="5FB57AD9"/>
    <w:rsid w:val="60023163"/>
    <w:rsid w:val="600C32A9"/>
    <w:rsid w:val="60271305"/>
    <w:rsid w:val="60374EAC"/>
    <w:rsid w:val="603E39EB"/>
    <w:rsid w:val="604E2033"/>
    <w:rsid w:val="605015E3"/>
    <w:rsid w:val="607C6AFA"/>
    <w:rsid w:val="60E1719A"/>
    <w:rsid w:val="61166D3C"/>
    <w:rsid w:val="61333D95"/>
    <w:rsid w:val="614106ED"/>
    <w:rsid w:val="61776F6C"/>
    <w:rsid w:val="619C5ABF"/>
    <w:rsid w:val="61E606C0"/>
    <w:rsid w:val="61E71FB0"/>
    <w:rsid w:val="61EC0ACB"/>
    <w:rsid w:val="621F05B8"/>
    <w:rsid w:val="626B4A1E"/>
    <w:rsid w:val="628971E2"/>
    <w:rsid w:val="630E4D7B"/>
    <w:rsid w:val="63312CB3"/>
    <w:rsid w:val="63653B5A"/>
    <w:rsid w:val="63B804E0"/>
    <w:rsid w:val="63C77214"/>
    <w:rsid w:val="63D80AE1"/>
    <w:rsid w:val="63E64361"/>
    <w:rsid w:val="63F951AD"/>
    <w:rsid w:val="640C1F26"/>
    <w:rsid w:val="643D3D0F"/>
    <w:rsid w:val="644E5112"/>
    <w:rsid w:val="64595054"/>
    <w:rsid w:val="64A54A63"/>
    <w:rsid w:val="64CE54D3"/>
    <w:rsid w:val="64EF1459"/>
    <w:rsid w:val="651D5762"/>
    <w:rsid w:val="653A5A52"/>
    <w:rsid w:val="65403812"/>
    <w:rsid w:val="654141E4"/>
    <w:rsid w:val="656B5F7E"/>
    <w:rsid w:val="65815D0A"/>
    <w:rsid w:val="65A07316"/>
    <w:rsid w:val="65B92199"/>
    <w:rsid w:val="65C15B23"/>
    <w:rsid w:val="65D93E8A"/>
    <w:rsid w:val="661A7BD7"/>
    <w:rsid w:val="664C516A"/>
    <w:rsid w:val="671C0297"/>
    <w:rsid w:val="672B04B8"/>
    <w:rsid w:val="67655AFF"/>
    <w:rsid w:val="67A43A38"/>
    <w:rsid w:val="67F36B10"/>
    <w:rsid w:val="680234DE"/>
    <w:rsid w:val="685543C6"/>
    <w:rsid w:val="68990F04"/>
    <w:rsid w:val="68C52A1A"/>
    <w:rsid w:val="692D6EA2"/>
    <w:rsid w:val="696A0FFE"/>
    <w:rsid w:val="697900F7"/>
    <w:rsid w:val="69EB1046"/>
    <w:rsid w:val="6A01113B"/>
    <w:rsid w:val="6A162F06"/>
    <w:rsid w:val="6A3B6DE4"/>
    <w:rsid w:val="6A452F74"/>
    <w:rsid w:val="6A7E33E6"/>
    <w:rsid w:val="6A8F0051"/>
    <w:rsid w:val="6AE32B81"/>
    <w:rsid w:val="6B606DFB"/>
    <w:rsid w:val="6BCA4FF0"/>
    <w:rsid w:val="6BF37FD1"/>
    <w:rsid w:val="6C646DD5"/>
    <w:rsid w:val="6CFF21DE"/>
    <w:rsid w:val="6D276533"/>
    <w:rsid w:val="6D904905"/>
    <w:rsid w:val="6DFA4277"/>
    <w:rsid w:val="6E170A93"/>
    <w:rsid w:val="6E92548B"/>
    <w:rsid w:val="6EEE65A2"/>
    <w:rsid w:val="6EF51F1A"/>
    <w:rsid w:val="6F507A12"/>
    <w:rsid w:val="6F5D57C7"/>
    <w:rsid w:val="6F647299"/>
    <w:rsid w:val="6F7A655F"/>
    <w:rsid w:val="6F8560C6"/>
    <w:rsid w:val="6F9726BB"/>
    <w:rsid w:val="6FCF3B5D"/>
    <w:rsid w:val="6FD00E6B"/>
    <w:rsid w:val="6FD31EE2"/>
    <w:rsid w:val="70395D7A"/>
    <w:rsid w:val="70694719"/>
    <w:rsid w:val="70871919"/>
    <w:rsid w:val="70C63F75"/>
    <w:rsid w:val="70D418EC"/>
    <w:rsid w:val="715621C1"/>
    <w:rsid w:val="71CA7123"/>
    <w:rsid w:val="71F6181B"/>
    <w:rsid w:val="72AE53FB"/>
    <w:rsid w:val="72E1726F"/>
    <w:rsid w:val="730D410F"/>
    <w:rsid w:val="73517EF4"/>
    <w:rsid w:val="740E3E2A"/>
    <w:rsid w:val="74136FA6"/>
    <w:rsid w:val="74264046"/>
    <w:rsid w:val="747942AF"/>
    <w:rsid w:val="74855ABC"/>
    <w:rsid w:val="74CE3344"/>
    <w:rsid w:val="75355024"/>
    <w:rsid w:val="753B7141"/>
    <w:rsid w:val="75442477"/>
    <w:rsid w:val="75685DC7"/>
    <w:rsid w:val="757A11EB"/>
    <w:rsid w:val="75A1193F"/>
    <w:rsid w:val="75BF04D8"/>
    <w:rsid w:val="75CD40B7"/>
    <w:rsid w:val="767260BE"/>
    <w:rsid w:val="76941908"/>
    <w:rsid w:val="76A02311"/>
    <w:rsid w:val="76B113AB"/>
    <w:rsid w:val="77006C70"/>
    <w:rsid w:val="77080D9F"/>
    <w:rsid w:val="77267270"/>
    <w:rsid w:val="77272254"/>
    <w:rsid w:val="77641D6D"/>
    <w:rsid w:val="77FA3DFF"/>
    <w:rsid w:val="781335BE"/>
    <w:rsid w:val="78183338"/>
    <w:rsid w:val="784E6CEF"/>
    <w:rsid w:val="78511AF7"/>
    <w:rsid w:val="789421D4"/>
    <w:rsid w:val="78A37702"/>
    <w:rsid w:val="79391BAC"/>
    <w:rsid w:val="794371E1"/>
    <w:rsid w:val="79761F61"/>
    <w:rsid w:val="7989774B"/>
    <w:rsid w:val="79A3026B"/>
    <w:rsid w:val="79FC3228"/>
    <w:rsid w:val="7A436062"/>
    <w:rsid w:val="7A5E39E4"/>
    <w:rsid w:val="7A9B3457"/>
    <w:rsid w:val="7A9D5ADF"/>
    <w:rsid w:val="7AA76150"/>
    <w:rsid w:val="7AD27790"/>
    <w:rsid w:val="7BEE7612"/>
    <w:rsid w:val="7BFF11B3"/>
    <w:rsid w:val="7C1119BE"/>
    <w:rsid w:val="7C28299A"/>
    <w:rsid w:val="7CD14B97"/>
    <w:rsid w:val="7CD54B76"/>
    <w:rsid w:val="7CE70D90"/>
    <w:rsid w:val="7D057E83"/>
    <w:rsid w:val="7D060148"/>
    <w:rsid w:val="7D9733AB"/>
    <w:rsid w:val="7DBA23ED"/>
    <w:rsid w:val="7DE21B1B"/>
    <w:rsid w:val="7DF179F0"/>
    <w:rsid w:val="7E0D360E"/>
    <w:rsid w:val="7E3A4CC5"/>
    <w:rsid w:val="7EC446A6"/>
    <w:rsid w:val="7ED1384E"/>
    <w:rsid w:val="7EF01DBE"/>
    <w:rsid w:val="7EF04BDB"/>
    <w:rsid w:val="7F03744B"/>
    <w:rsid w:val="7F426A67"/>
    <w:rsid w:val="7F435C90"/>
    <w:rsid w:val="7F6326BF"/>
    <w:rsid w:val="7FB4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2"/>
    <w:semiHidden/>
    <w:unhideWhenUsed/>
    <w:qFormat/>
    <w:uiPriority w:val="99"/>
    <w:pPr>
      <w:spacing w:after="120"/>
      <w:ind w:left="420" w:leftChars="2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3"/>
    <w:unhideWhenUsed/>
    <w:qFormat/>
    <w:uiPriority w:val="99"/>
    <w:pPr>
      <w:spacing w:after="0" w:line="360" w:lineRule="auto"/>
      <w:ind w:left="0" w:leftChars="0" w:firstLine="420" w:firstLineChars="200"/>
    </w:pPr>
    <w:rPr>
      <w:rFonts w:ascii="Calibri" w:hAnsi="Calibri" w:eastAsia="仿宋_GB2312" w:cs="黑体"/>
      <w:sz w:val="32"/>
      <w:szCs w:val="32"/>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kern w:val="2"/>
      <w:sz w:val="18"/>
      <w:szCs w:val="18"/>
    </w:rPr>
  </w:style>
  <w:style w:type="character" w:customStyle="1" w:styleId="12">
    <w:name w:val="正文文本缩进 Char"/>
    <w:basedOn w:val="8"/>
    <w:link w:val="2"/>
    <w:semiHidden/>
    <w:qFormat/>
    <w:uiPriority w:val="99"/>
    <w:rPr>
      <w:rFonts w:ascii="Times New Roman" w:hAnsi="Times New Roman"/>
      <w:kern w:val="2"/>
      <w:sz w:val="21"/>
      <w:szCs w:val="24"/>
    </w:rPr>
  </w:style>
  <w:style w:type="character" w:customStyle="1" w:styleId="13">
    <w:name w:val="正文首行缩进 2 Char"/>
    <w:basedOn w:val="12"/>
    <w:link w:val="6"/>
    <w:qFormat/>
    <w:uiPriority w:val="99"/>
    <w:rPr>
      <w:rFonts w:ascii="Times New Roman" w:hAnsi="Times New Roman" w:eastAsia="仿宋_GB2312" w:cs="黑体"/>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5841E-9765-439F-BB10-9550214A815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1465</Words>
  <Characters>8351</Characters>
  <Lines>69</Lines>
  <Paragraphs>19</Paragraphs>
  <TotalTime>376</TotalTime>
  <ScaleCrop>false</ScaleCrop>
  <LinksUpToDate>false</LinksUpToDate>
  <CharactersWithSpaces>9797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2020-04-10T03:00:00Z</dcterms:created>
  <dc:creator>User</dc:creator>
  <cp:lastModifiedBy>李盛亚</cp:lastModifiedBy>
  <cp:lastPrinted>2019-09-09T01:36:00Z</cp:lastPrinted>
  <dcterms:modified xsi:type="dcterms:W3CDTF">2020-05-26T02:49:46Z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