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0" w:leftChars="0" w:right="0" w:firstLine="0" w:firstLineChars="0"/>
        <w:jc w:val="both"/>
        <w:textAlignment w:val="auto"/>
        <w:outlineLvl w:val="9"/>
        <w:rPr>
          <w:rFonts w:hint="eastAsia" w:ascii="黑体" w:hAnsi="黑体" w:eastAsia="黑体" w:cs="黑体"/>
          <w:color w:val="000000"/>
          <w:sz w:val="28"/>
          <w:szCs w:val="28"/>
          <w:lang w:eastAsia="zh-CN"/>
        </w:rPr>
      </w:pPr>
      <w:r>
        <w:rPr>
          <w:rFonts w:hint="eastAsia" w:ascii="黑体" w:hAnsi="黑体" w:eastAsia="黑体" w:cs="黑体"/>
          <w:color w:val="000000"/>
          <w:sz w:val="28"/>
          <w:szCs w:val="28"/>
        </w:rPr>
        <w:t>省十三届人大常委会第</w:t>
      </w:r>
      <w:r>
        <w:rPr>
          <w:rFonts w:hint="eastAsia" w:ascii="黑体" w:hAnsi="黑体" w:eastAsia="黑体" w:cs="黑体"/>
          <w:color w:val="000000"/>
          <w:sz w:val="28"/>
          <w:szCs w:val="28"/>
          <w:lang w:eastAsia="zh-CN"/>
        </w:rPr>
        <w:t>十七</w:t>
      </w:r>
      <w:r>
        <w:rPr>
          <w:rFonts w:hint="eastAsia" w:ascii="黑体" w:hAnsi="黑体" w:eastAsia="黑体" w:cs="黑体"/>
          <w:color w:val="000000"/>
          <w:sz w:val="28"/>
          <w:szCs w:val="28"/>
        </w:rPr>
        <w:t>次会议文件</w:t>
      </w:r>
      <w:r>
        <w:rPr>
          <w:rFonts w:hint="eastAsia" w:ascii="黑体" w:hAnsi="黑体" w:eastAsia="黑体" w:cs="黑体"/>
          <w:color w:val="000000"/>
          <w:sz w:val="28"/>
          <w:szCs w:val="28"/>
          <w:lang w:eastAsia="zh-CN"/>
        </w:rPr>
        <w:t>（十）</w:t>
      </w:r>
    </w:p>
    <w:p>
      <w:pPr>
        <w:widowControl w:val="0"/>
        <w:wordWrap/>
        <w:adjustRightInd w:val="0"/>
        <w:snapToGrid w:val="0"/>
        <w:spacing w:line="600" w:lineRule="exact"/>
        <w:ind w:left="0" w:leftChars="0" w:right="0"/>
        <w:textAlignment w:val="auto"/>
        <w:outlineLvl w:val="9"/>
        <w:rPr>
          <w:rFonts w:ascii="黑体" w:hAnsi="黑体" w:eastAsia="黑体"/>
          <w:color w:val="000000"/>
          <w:sz w:val="32"/>
          <w:szCs w:val="32"/>
        </w:rPr>
      </w:pPr>
    </w:p>
    <w:p>
      <w:pPr>
        <w:widowControl w:val="0"/>
        <w:wordWrap/>
        <w:adjustRightInd w:val="0"/>
        <w:snapToGrid w:val="0"/>
        <w:spacing w:line="640" w:lineRule="atLeast"/>
        <w:ind w:left="0" w:leftChars="0" w:right="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贵州省人民调解条例</w:t>
      </w:r>
      <w:r>
        <w:rPr>
          <w:rFonts w:hint="eastAsia" w:ascii="方正小标宋_GBK" w:hAnsi="方正小标宋_GBK" w:eastAsia="方正小标宋_GBK" w:cs="方正小标宋_GBK"/>
          <w:color w:val="000000"/>
          <w:sz w:val="44"/>
          <w:szCs w:val="44"/>
          <w:lang w:eastAsia="zh-CN"/>
        </w:rPr>
        <w:t>（草案）</w:t>
      </w:r>
    </w:p>
    <w:p>
      <w:pPr>
        <w:widowControl w:val="0"/>
        <w:wordWrap/>
        <w:adjustRightInd w:val="0"/>
        <w:snapToGrid w:val="0"/>
        <w:spacing w:line="240" w:lineRule="auto"/>
        <w:ind w:left="0" w:leftChars="0" w:right="0" w:firstLine="0" w:firstLineChars="0"/>
        <w:jc w:val="center"/>
        <w:textAlignment w:val="auto"/>
        <w:outlineLvl w:val="9"/>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（二次审议修改稿）</w:t>
      </w:r>
    </w:p>
    <w:p>
      <w:pPr>
        <w:pStyle w:val="2"/>
        <w:rPr>
          <w:rFonts w:hint="eastAsia"/>
          <w:color w:val="000000"/>
          <w:lang w:eastAsia="zh-CN"/>
        </w:rPr>
      </w:pPr>
    </w:p>
    <w:p>
      <w:pPr>
        <w:pStyle w:val="2"/>
        <w:widowControl w:val="0"/>
        <w:wordWrap/>
        <w:adjustRightInd/>
        <w:snapToGrid/>
        <w:spacing w:line="600" w:lineRule="exact"/>
        <w:ind w:left="420" w:leftChars="200" w:right="0" w:firstLine="0" w:firstLineChars="0"/>
        <w:jc w:val="center"/>
        <w:textAlignment w:val="auto"/>
        <w:outlineLvl w:val="9"/>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目</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eastAsia="zh-CN"/>
        </w:rPr>
        <w:t>录</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第一章</w:t>
      </w:r>
      <w:r>
        <w:rPr>
          <w:rFonts w:hint="eastAsia" w:ascii="楷体_GB2312" w:hAnsi="楷体_GB2312" w:eastAsia="楷体_GB2312" w:cs="楷体_GB2312"/>
          <w:b w:val="0"/>
          <w:bCs w:val="0"/>
          <w:color w:val="000000"/>
          <w:sz w:val="32"/>
          <w:szCs w:val="32"/>
          <w:lang w:val="en-US" w:eastAsia="zh-CN"/>
        </w:rPr>
        <w:t xml:space="preserve">    总    则</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第二章    人民调解委员会</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第三章    人民调解员</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第四章    调解程序</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第五章    调解协议</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第六章    保障与指导</w:t>
      </w:r>
    </w:p>
    <w:p>
      <w:pPr>
        <w:pStyle w:val="2"/>
        <w:widowControl w:val="0"/>
        <w:wordWrap/>
        <w:spacing w:line="600" w:lineRule="exact"/>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第七章    法律责任</w:t>
      </w:r>
    </w:p>
    <w:p>
      <w:pPr>
        <w:pStyle w:val="2"/>
        <w:widowControl w:val="0"/>
        <w:wordWrap/>
        <w:spacing w:line="600" w:lineRule="exact"/>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第八章    附    则</w:t>
      </w:r>
    </w:p>
    <w:p>
      <w:pPr>
        <w:widowControl w:val="0"/>
        <w:wordWrap/>
        <w:adjustRightInd w:val="0"/>
        <w:snapToGrid w:val="0"/>
        <w:spacing w:before="313" w:beforeLines="100" w:after="313" w:afterLines="100" w:line="600" w:lineRule="exact"/>
        <w:ind w:left="0" w:leftChars="0" w:right="0" w:firstLine="0" w:firstLineChars="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第一章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总</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0" w:name="_Toc2436"/>
      <w:bookmarkStart w:id="1" w:name="_Toc3346"/>
      <w:r>
        <w:rPr>
          <w:rFonts w:hint="eastAsia" w:ascii="黑体" w:hAnsi="黑体" w:eastAsia="黑体"/>
          <w:color w:val="000000"/>
          <w:sz w:val="32"/>
          <w:szCs w:val="32"/>
        </w:rPr>
        <w:t>第一条</w:t>
      </w:r>
      <w:bookmarkEnd w:id="0"/>
      <w:bookmarkEnd w:id="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为了规范和加强人民调解工作，有效预防、及时化解民间纠纷，维护社会和谐稳定，根据《中华人民共和国人民调解法》</w:t>
      </w:r>
      <w:r>
        <w:rPr>
          <w:rFonts w:hint="eastAsia" w:ascii="仿宋_GB2312" w:hAnsi="黑体" w:eastAsia="仿宋_GB2312" w:cs="黑体"/>
          <w:color w:val="000000"/>
          <w:sz w:val="32"/>
          <w:szCs w:val="32"/>
          <w:lang w:val="en-US" w:eastAsia="zh-CN"/>
        </w:rPr>
        <w:t>和有关</w:t>
      </w:r>
      <w:r>
        <w:rPr>
          <w:rFonts w:hint="eastAsia" w:ascii="仿宋_GB2312" w:hAnsi="黑体" w:eastAsia="仿宋_GB2312" w:cs="黑体"/>
          <w:color w:val="000000"/>
          <w:sz w:val="32"/>
          <w:szCs w:val="32"/>
        </w:rPr>
        <w:t>法</w:t>
      </w:r>
      <w:r>
        <w:rPr>
          <w:rFonts w:hint="eastAsia" w:ascii="仿宋_GB2312" w:eastAsia="仿宋_GB2312"/>
          <w:color w:val="000000"/>
          <w:sz w:val="32"/>
          <w:szCs w:val="32"/>
        </w:rPr>
        <w:t>律、法规的规定，结合本省实际，制定本条例。</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本省行政区域内的人民调解工作适用本条例。</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2" w:name="_Toc13245"/>
      <w:bookmarkStart w:id="3" w:name="_Toc10239"/>
      <w:r>
        <w:rPr>
          <w:rFonts w:hint="eastAsia" w:ascii="黑体" w:hAnsi="黑体" w:eastAsia="黑体"/>
          <w:color w:val="000000"/>
          <w:sz w:val="32"/>
          <w:szCs w:val="32"/>
        </w:rPr>
        <w:t>第三条</w:t>
      </w:r>
      <w:bookmarkEnd w:id="2"/>
      <w:bookmarkEnd w:id="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本条例所称人民调解，是指人民调解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通过说服、疏导等方法，促使当事人在平等协商基础上自愿达成调解协议，解决民间纠纷的活动。</w:t>
      </w:r>
    </w:p>
    <w:p>
      <w:pPr>
        <w:widowControl w:val="0"/>
        <w:wordWrap/>
        <w:adjustRightInd w:val="0"/>
        <w:snapToGrid w:val="0"/>
        <w:spacing w:line="600" w:lineRule="exact"/>
        <w:ind w:left="0" w:leftChars="0" w:right="0" w:firstLine="640" w:firstLineChars="200"/>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人民调解委员会是依法设立的调解民间纠纷的群众性组织。</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4" w:name="_Toc12788"/>
      <w:r>
        <w:rPr>
          <w:rFonts w:hint="eastAsia" w:ascii="黑体" w:hAnsi="黑体" w:eastAsia="黑体"/>
          <w:color w:val="000000"/>
          <w:sz w:val="32"/>
          <w:szCs w:val="32"/>
        </w:rPr>
        <w:t>第四条</w:t>
      </w:r>
      <w:bookmarkEnd w:id="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以外的其他组织和个人，不得以人民调解的名义开展调解活动。</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调解民间纠纷不收取任何费用。</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 w:name="_Toc31290"/>
      <w:bookmarkStart w:id="6" w:name="_Toc28154"/>
      <w:r>
        <w:rPr>
          <w:rFonts w:hint="eastAsia" w:ascii="黑体" w:hAnsi="黑体" w:eastAsia="黑体"/>
          <w:color w:val="000000"/>
          <w:sz w:val="32"/>
          <w:szCs w:val="32"/>
        </w:rPr>
        <w:t>第五条</w:t>
      </w:r>
      <w:bookmarkEnd w:id="5"/>
      <w:bookmarkEnd w:id="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人民调解活动应当遵循下列原则：</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（一）在当事人自愿、平等的基础上进行调解；</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（二）不违背法律、法规、</w:t>
      </w:r>
      <w:r>
        <w:rPr>
          <w:rFonts w:hint="eastAsia" w:ascii="仿宋_GB2312" w:hAnsi="黑体" w:eastAsia="仿宋_GB2312" w:cs="黑体"/>
          <w:color w:val="000000"/>
          <w:sz w:val="32"/>
          <w:szCs w:val="32"/>
        </w:rPr>
        <w:t>国家</w:t>
      </w:r>
      <w:r>
        <w:rPr>
          <w:rFonts w:hint="eastAsia" w:ascii="仿宋_GB2312" w:eastAsia="仿宋_GB2312"/>
          <w:color w:val="000000"/>
          <w:sz w:val="32"/>
          <w:szCs w:val="32"/>
        </w:rPr>
        <w:t>政策和公序良俗；</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（三）尊重当事人的权利，不得因调解而阻止当事人依法通过仲裁、行政、司法等途径维护自己的权利。</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7" w:name="_Toc3802"/>
      <w:bookmarkStart w:id="8" w:name="_Toc7984"/>
      <w:r>
        <w:rPr>
          <w:rFonts w:hint="eastAsia" w:ascii="黑体" w:hAnsi="黑体" w:eastAsia="黑体"/>
          <w:color w:val="000000"/>
          <w:sz w:val="32"/>
          <w:szCs w:val="32"/>
        </w:rPr>
        <w:t>第六条</w:t>
      </w:r>
      <w:bookmarkEnd w:id="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各级人民政府应当鼓励、支持人民调解工作，将人民调解工作纳入社会治理体系，推动人民调解</w:t>
      </w:r>
      <w:r>
        <w:rPr>
          <w:rFonts w:hint="eastAsia" w:ascii="仿宋_GB2312" w:eastAsia="仿宋_GB2312"/>
          <w:color w:val="000000"/>
          <w:sz w:val="32"/>
          <w:szCs w:val="32"/>
          <w:lang w:val="en-US" w:eastAsia="zh-CN"/>
        </w:rPr>
        <w:t>委员会组织机构</w:t>
      </w:r>
      <w:r>
        <w:rPr>
          <w:rFonts w:hint="eastAsia" w:ascii="仿宋_GB2312" w:eastAsia="仿宋_GB2312"/>
          <w:color w:val="000000"/>
          <w:sz w:val="32"/>
          <w:szCs w:val="32"/>
        </w:rPr>
        <w:t>和工作机制建设，完善人民调解</w:t>
      </w:r>
      <w:r>
        <w:rPr>
          <w:rFonts w:hint="eastAsia" w:ascii="仿宋_GB2312" w:eastAsia="仿宋_GB2312"/>
          <w:color w:val="000000"/>
          <w:sz w:val="32"/>
          <w:szCs w:val="32"/>
          <w:lang w:eastAsia="zh-CN"/>
        </w:rPr>
        <w:t>同</w:t>
      </w:r>
      <w:r>
        <w:rPr>
          <w:rFonts w:hint="eastAsia" w:ascii="仿宋_GB2312" w:eastAsia="仿宋_GB2312"/>
          <w:color w:val="000000"/>
          <w:sz w:val="32"/>
          <w:szCs w:val="32"/>
        </w:rPr>
        <w:t>行政调解、司法调解</w:t>
      </w:r>
      <w:r>
        <w:rPr>
          <w:rFonts w:hint="eastAsia" w:ascii="仿宋_GB2312" w:eastAsia="仿宋_GB2312"/>
          <w:color w:val="000000"/>
          <w:sz w:val="32"/>
          <w:szCs w:val="32"/>
          <w:lang w:eastAsia="zh-CN"/>
        </w:rPr>
        <w:t>的</w:t>
      </w:r>
      <w:r>
        <w:rPr>
          <w:rFonts w:hint="eastAsia" w:ascii="仿宋_GB2312" w:eastAsia="仿宋_GB2312"/>
          <w:color w:val="000000"/>
          <w:sz w:val="32"/>
          <w:szCs w:val="32"/>
        </w:rPr>
        <w:t>联动工作体系。</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9" w:name="_Toc657"/>
      <w:r>
        <w:rPr>
          <w:rFonts w:hint="eastAsia" w:ascii="黑体" w:hAnsi="黑体" w:eastAsia="黑体"/>
          <w:color w:val="000000"/>
          <w:sz w:val="32"/>
          <w:szCs w:val="32"/>
        </w:rPr>
        <w:t>第七条</w:t>
      </w:r>
      <w:bookmarkEnd w:id="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县级以上人民政府司法行政部门负责指导本行政区域</w:t>
      </w:r>
      <w:r>
        <w:rPr>
          <w:rFonts w:hint="eastAsia" w:ascii="仿宋_GB2312" w:eastAsia="仿宋_GB2312"/>
          <w:color w:val="000000"/>
          <w:sz w:val="32"/>
          <w:szCs w:val="32"/>
          <w:lang w:eastAsia="zh-CN"/>
        </w:rPr>
        <w:t>内</w:t>
      </w:r>
      <w:r>
        <w:rPr>
          <w:rFonts w:hint="eastAsia" w:ascii="仿宋_GB2312" w:eastAsia="仿宋_GB2312"/>
          <w:color w:val="000000"/>
          <w:sz w:val="32"/>
          <w:szCs w:val="32"/>
        </w:rPr>
        <w:t>的人民调解工作。司法所具体指导</w:t>
      </w:r>
      <w:r>
        <w:rPr>
          <w:rFonts w:hint="eastAsia" w:ascii="仿宋_GB2312" w:eastAsia="仿宋_GB2312"/>
          <w:color w:val="000000"/>
          <w:sz w:val="32"/>
          <w:szCs w:val="32"/>
          <w:lang w:eastAsia="zh-CN"/>
        </w:rPr>
        <w:t>和监督</w:t>
      </w:r>
      <w:r>
        <w:rPr>
          <w:rFonts w:hint="eastAsia" w:ascii="仿宋_GB2312" w:eastAsia="仿宋_GB2312"/>
          <w:color w:val="000000"/>
          <w:sz w:val="32"/>
          <w:szCs w:val="32"/>
        </w:rPr>
        <w:t>本辖区内人民调解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的日常工作。</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基层人民法院对本辖区内人民调解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的调解活动进行业务指导。</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县级以上人民政府公安、民政、财政、人力资源社会保障、卫生健康</w:t>
      </w:r>
      <w:r>
        <w:rPr>
          <w:rFonts w:hint="eastAsia" w:ascii="仿宋_GB2312" w:eastAsia="仿宋_GB2312"/>
          <w:color w:val="000000"/>
          <w:sz w:val="32"/>
          <w:szCs w:val="32"/>
          <w:lang w:eastAsia="zh-CN"/>
        </w:rPr>
        <w:t>、市场监管、住房城乡建设</w:t>
      </w:r>
      <w:r>
        <w:rPr>
          <w:rFonts w:hint="eastAsia" w:ascii="仿宋_GB2312" w:eastAsia="仿宋_GB2312"/>
          <w:color w:val="000000"/>
          <w:sz w:val="32"/>
          <w:szCs w:val="32"/>
        </w:rPr>
        <w:t>等有关部门,在各自职责范围内对人民调解工作予以支持。</w:t>
      </w:r>
    </w:p>
    <w:p>
      <w:pPr>
        <w:widowControl w:val="0"/>
        <w:wordWrap/>
        <w:adjustRightInd w:val="0"/>
        <w:snapToGrid w:val="0"/>
        <w:spacing w:line="600" w:lineRule="exact"/>
        <w:ind w:left="0" w:leftChars="0" w:right="0" w:firstLine="640" w:firstLineChars="200"/>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工会、妇联、残联和企业事业单位应当配合人民调解工作。</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10" w:name="_Toc25820"/>
      <w:r>
        <w:rPr>
          <w:rFonts w:hint="eastAsia" w:ascii="黑体" w:hAnsi="黑体" w:eastAsia="黑体"/>
          <w:color w:val="000000"/>
          <w:sz w:val="32"/>
          <w:szCs w:val="32"/>
        </w:rPr>
        <w:t>第九条</w:t>
      </w:r>
      <w:bookmarkEnd w:id="1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县级以上人民政府对于成绩显著、贡献突出的人民调解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和人民调解员，按照国家和省有关规定给予表彰和奖励。</w:t>
      </w:r>
    </w:p>
    <w:bookmarkEnd w:id="8"/>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11" w:name="_Toc1114"/>
      <w:bookmarkStart w:id="12" w:name="_Toc22156"/>
      <w:r>
        <w:rPr>
          <w:rFonts w:hint="eastAsia" w:ascii="黑体" w:hAnsi="黑体" w:eastAsia="黑体"/>
          <w:color w:val="000000"/>
          <w:sz w:val="32"/>
          <w:szCs w:val="32"/>
        </w:rPr>
        <w:t>第十条</w:t>
      </w:r>
      <w:bookmarkEnd w:id="11"/>
      <w:bookmarkEnd w:id="1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鼓励公民、法人和其他组织支持、参与和配合人民调解工作。</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倡导公民、法人和其他组织优先选择人民调解解决民间纠纷。</w:t>
      </w:r>
    </w:p>
    <w:p>
      <w:pPr>
        <w:widowControl w:val="0"/>
        <w:wordWrap/>
        <w:adjustRightInd w:val="0"/>
        <w:snapToGrid w:val="0"/>
        <w:spacing w:before="313" w:beforeLines="100" w:after="313" w:afterLines="100" w:line="600" w:lineRule="exact"/>
        <w:ind w:left="0" w:leftChars="0" w:right="0" w:firstLine="0" w:firstLineChars="0"/>
        <w:jc w:val="center"/>
        <w:textAlignment w:val="auto"/>
        <w:outlineLvl w:val="9"/>
        <w:rPr>
          <w:rFonts w:ascii="黑体" w:hAnsi="黑体" w:eastAsia="黑体"/>
          <w:color w:val="000000"/>
          <w:sz w:val="32"/>
          <w:szCs w:val="32"/>
        </w:rPr>
      </w:pPr>
      <w:bookmarkStart w:id="13" w:name="_Toc15697"/>
      <w:bookmarkStart w:id="14" w:name="_Toc5806"/>
      <w:r>
        <w:rPr>
          <w:rFonts w:hint="eastAsia" w:ascii="黑体" w:hAnsi="黑体" w:eastAsia="黑体"/>
          <w:color w:val="000000"/>
          <w:sz w:val="32"/>
          <w:szCs w:val="32"/>
        </w:rPr>
        <w:t>第二章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人民调解</w:t>
      </w:r>
      <w:bookmarkEnd w:id="13"/>
      <w:bookmarkEnd w:id="14"/>
      <w:r>
        <w:rPr>
          <w:rFonts w:hint="eastAsia" w:ascii="黑体" w:hAnsi="黑体" w:eastAsia="黑体"/>
          <w:color w:val="000000"/>
          <w:sz w:val="32"/>
          <w:szCs w:val="32"/>
        </w:rPr>
        <w:t>委员会</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5" w:name="_Toc373"/>
      <w:bookmarkStart w:id="16" w:name="_Toc31014"/>
      <w:r>
        <w:rPr>
          <w:rFonts w:hint="eastAsia" w:ascii="黑体" w:hAnsi="黑体" w:eastAsia="黑体"/>
          <w:color w:val="000000"/>
          <w:sz w:val="32"/>
          <w:szCs w:val="32"/>
        </w:rPr>
        <w:t>第十一条</w:t>
      </w:r>
      <w:bookmarkEnd w:id="15"/>
      <w:bookmarkEnd w:id="1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村民委员会、居民委员会</w:t>
      </w:r>
      <w:r>
        <w:rPr>
          <w:rFonts w:hint="eastAsia" w:ascii="仿宋_GB2312" w:eastAsia="仿宋_GB2312"/>
          <w:color w:val="000000"/>
          <w:sz w:val="32"/>
          <w:szCs w:val="32"/>
          <w:lang w:eastAsia="zh-CN"/>
        </w:rPr>
        <w:t>、乡镇、街道</w:t>
      </w:r>
      <w:r>
        <w:rPr>
          <w:rFonts w:hint="eastAsia" w:ascii="仿宋_GB2312" w:eastAsia="仿宋_GB2312"/>
          <w:color w:val="000000"/>
          <w:sz w:val="32"/>
          <w:szCs w:val="32"/>
        </w:rPr>
        <w:t>应当设立人民调解委员会。</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县（市、区）、企业事业单位根据需要可以设立人民调解委员会。</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strike w:val="0"/>
          <w:dstrike/>
          <w:color w:val="000000"/>
          <w:sz w:val="32"/>
          <w:szCs w:val="32"/>
        </w:rPr>
      </w:pPr>
      <w:r>
        <w:rPr>
          <w:rFonts w:hint="eastAsia" w:ascii="仿宋_GB2312" w:eastAsia="仿宋_GB2312"/>
          <w:color w:val="000000"/>
          <w:sz w:val="32"/>
          <w:szCs w:val="32"/>
        </w:rPr>
        <w:t>社会团体及其他组织根据需要可以在</w:t>
      </w:r>
      <w:r>
        <w:rPr>
          <w:rFonts w:hint="eastAsia" w:ascii="仿宋_GB2312" w:eastAsia="仿宋_GB2312"/>
          <w:color w:val="000000"/>
          <w:sz w:val="32"/>
          <w:szCs w:val="32"/>
          <w:lang w:eastAsia="zh-CN"/>
        </w:rPr>
        <w:t>医疗、消费、婚姻家庭、物业服务、交通事故、生态环境</w:t>
      </w:r>
      <w:r>
        <w:rPr>
          <w:rFonts w:hint="eastAsia" w:ascii="仿宋_GB2312" w:eastAsia="仿宋_GB2312"/>
          <w:color w:val="000000"/>
          <w:sz w:val="32"/>
          <w:szCs w:val="32"/>
        </w:rPr>
        <w:t>等民间纠纷易发、多发领域，设立行业性、专业性人民调解委员会。</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7" w:name="_Toc8442"/>
      <w:r>
        <w:rPr>
          <w:rFonts w:hint="eastAsia" w:ascii="黑体" w:hAnsi="黑体" w:eastAsia="黑体"/>
          <w:color w:val="000000"/>
          <w:sz w:val="32"/>
          <w:szCs w:val="32"/>
        </w:rPr>
        <w:t>第</w:t>
      </w:r>
      <w:r>
        <w:rPr>
          <w:rFonts w:hint="eastAsia" w:ascii="黑体" w:hAnsi="黑体" w:eastAsia="黑体"/>
          <w:color w:val="000000"/>
          <w:sz w:val="32"/>
          <w:szCs w:val="32"/>
          <w:lang w:eastAsia="zh-CN"/>
        </w:rPr>
        <w:t>十二</w:t>
      </w:r>
      <w:r>
        <w:rPr>
          <w:rFonts w:hint="eastAsia" w:ascii="黑体" w:hAnsi="黑体" w:eastAsia="黑体"/>
          <w:color w:val="000000"/>
          <w:sz w:val="32"/>
          <w:szCs w:val="32"/>
        </w:rPr>
        <w:t>条</w:t>
      </w:r>
      <w:bookmarkEnd w:id="1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村民委员会、居民委员会、企业事业单位的人民调解委员会委员，依照《中华人民共和国人民调解法》等有关规定产生。</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乡镇、街道人民调解委员会委员从下列人员中推选或者聘任：</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pacing w:val="-11"/>
          <w:sz w:val="32"/>
          <w:szCs w:val="32"/>
          <w:lang w:val="en-US" w:eastAsia="zh-CN"/>
        </w:rPr>
      </w:pPr>
      <w:r>
        <w:rPr>
          <w:rFonts w:hint="eastAsia" w:ascii="仿宋_GB2312" w:eastAsia="仿宋_GB2312"/>
          <w:color w:val="000000"/>
          <w:sz w:val="32"/>
          <w:szCs w:val="32"/>
          <w:lang w:val="en-US" w:eastAsia="zh-CN"/>
        </w:rPr>
        <w:t>（一）</w:t>
      </w:r>
      <w:r>
        <w:rPr>
          <w:rFonts w:hint="eastAsia" w:ascii="仿宋_GB2312" w:eastAsia="仿宋_GB2312"/>
          <w:color w:val="000000"/>
          <w:spacing w:val="-11"/>
          <w:sz w:val="32"/>
          <w:szCs w:val="32"/>
          <w:lang w:val="en-US" w:eastAsia="zh-CN"/>
        </w:rPr>
        <w:t>本乡镇、街道辖区内已设立的其他人民调解委员会委员；</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（二）本乡镇、街道司法所工作人员；</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（三）在本乡镇、街道辖区内居住的具备一定法律知识、专业知识，热心人民调解工作的成年公民。</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行业性、专业性人民调解委员会委员由设立单位或者设立组织推选或者聘任。</w:t>
      </w:r>
    </w:p>
    <w:p>
      <w:pPr>
        <w:widowControl w:val="0"/>
        <w:wordWrap/>
        <w:adjustRightInd w:val="0"/>
        <w:snapToGrid w:val="0"/>
        <w:spacing w:line="600" w:lineRule="exact"/>
        <w:ind w:left="0" w:leftChars="0" w:right="0" w:firstLine="640" w:firstLineChars="200"/>
        <w:textAlignment w:val="auto"/>
        <w:outlineLvl w:val="9"/>
        <w:rPr>
          <w:rFonts w:hint="default"/>
          <w:color w:val="000000"/>
          <w:lang w:val="en-US" w:eastAsia="zh-CN"/>
        </w:rPr>
      </w:pPr>
      <w:r>
        <w:rPr>
          <w:rFonts w:hint="eastAsia" w:ascii="仿宋_GB2312" w:eastAsia="仿宋_GB2312"/>
          <w:color w:val="000000"/>
          <w:sz w:val="32"/>
          <w:szCs w:val="32"/>
          <w:lang w:val="en-US" w:eastAsia="zh-CN"/>
        </w:rPr>
        <w:t>人民调解委员会委员的任期按照国家规定执行。</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18" w:name="_Toc16203"/>
      <w:r>
        <w:rPr>
          <w:rFonts w:hint="eastAsia" w:ascii="黑体" w:hAnsi="黑体" w:eastAsia="黑体"/>
          <w:color w:val="000000"/>
          <w:sz w:val="32"/>
          <w:szCs w:val="32"/>
        </w:rPr>
        <w:t>第</w:t>
      </w:r>
      <w:r>
        <w:rPr>
          <w:rFonts w:hint="eastAsia" w:ascii="黑体" w:hAnsi="黑体" w:eastAsia="黑体"/>
          <w:color w:val="000000"/>
          <w:sz w:val="32"/>
          <w:szCs w:val="32"/>
          <w:lang w:eastAsia="zh-CN"/>
        </w:rPr>
        <w:t>十三条</w:t>
      </w:r>
      <w:bookmarkEnd w:id="1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的任务包括：</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（一）调解民间纠纷，促进社会和谐；</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（二）开展民间纠纷排查，预防民间纠纷发生与纠纷激化；</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（三）通过调解工作宣传法律、法规、规章和政策，引导公民遵纪守法，遵守社会公德；</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（四）向设立单位或者设立组织、基层人民政府反映民间纠纷和调解工作的情况。</w:t>
      </w:r>
    </w:p>
    <w:p>
      <w:pPr>
        <w:widowControl w:val="0"/>
        <w:numPr>
          <w:numId w:val="0"/>
        </w:numPr>
        <w:wordWrap/>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第十四条</w:t>
      </w:r>
      <w:r>
        <w:rPr>
          <w:rFonts w:hint="eastAsia"/>
          <w:color w:val="000000"/>
          <w:sz w:val="32"/>
          <w:szCs w:val="32"/>
          <w:lang w:val="en-US" w:eastAsia="zh-CN"/>
        </w:rPr>
        <w:t xml:space="preserve">  </w:t>
      </w:r>
      <w:r>
        <w:rPr>
          <w:rFonts w:hint="eastAsia" w:ascii="仿宋_GB2312" w:hAnsi="仿宋_GB2312" w:eastAsia="仿宋_GB2312" w:cs="仿宋_GB2312"/>
          <w:color w:val="000000"/>
          <w:sz w:val="32"/>
          <w:szCs w:val="32"/>
        </w:rPr>
        <w:t>人民调解委员会根据需要，并经协商一致，可以在基层人民法院、人民检察院、公安机关、信访机构等矛盾纠纷集中受理、处理的基层单位</w:t>
      </w:r>
      <w:r>
        <w:rPr>
          <w:rFonts w:hint="eastAsia" w:ascii="仿宋_GB2312" w:hAnsi="仿宋_GB2312" w:eastAsia="仿宋_GB2312" w:cs="仿宋_GB2312"/>
          <w:color w:val="000000"/>
          <w:sz w:val="32"/>
          <w:szCs w:val="32"/>
          <w:lang w:val="en-US" w:eastAsia="zh-CN"/>
        </w:rPr>
        <w:t>设立</w:t>
      </w:r>
      <w:r>
        <w:rPr>
          <w:rFonts w:hint="eastAsia" w:ascii="仿宋_GB2312" w:hAnsi="仿宋_GB2312" w:eastAsia="仿宋_GB2312" w:cs="仿宋_GB2312"/>
          <w:color w:val="000000"/>
          <w:sz w:val="32"/>
          <w:szCs w:val="32"/>
        </w:rPr>
        <w:t>人民调解工作室。</w:t>
      </w:r>
    </w:p>
    <w:p>
      <w:pPr>
        <w:widowControl w:val="0"/>
        <w:wordWrap/>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strike w:val="0"/>
          <w:dstrike w:val="0"/>
          <w:color w:val="000000"/>
          <w:sz w:val="32"/>
          <w:szCs w:val="32"/>
        </w:rPr>
        <w:t>人民调解委员会可以为具有专业特长、社会公信力高的人民调解员设立个人调解工作室。</w:t>
      </w:r>
    </w:p>
    <w:p>
      <w:pPr>
        <w:widowControl w:val="0"/>
        <w:wordWrap/>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strike w:val="0"/>
          <w:dstrike w:val="0"/>
          <w:color w:val="000000"/>
          <w:sz w:val="32"/>
          <w:szCs w:val="32"/>
        </w:rPr>
      </w:pPr>
      <w:r>
        <w:rPr>
          <w:rFonts w:hint="eastAsia" w:ascii="仿宋_GB2312" w:hAnsi="仿宋_GB2312" w:eastAsia="仿宋_GB2312" w:cs="仿宋_GB2312"/>
          <w:color w:val="000000"/>
          <w:sz w:val="32"/>
          <w:szCs w:val="32"/>
        </w:rPr>
        <w:t>村民委员会、居民委员会的人民调解委员会可以根据需要，以自然村寨、居民小区（楼院）等为单位，</w:t>
      </w:r>
      <w:r>
        <w:rPr>
          <w:rFonts w:hint="eastAsia" w:ascii="仿宋_GB2312" w:hAnsi="仿宋_GB2312" w:eastAsia="仿宋_GB2312" w:cs="仿宋_GB2312"/>
          <w:strike w:val="0"/>
          <w:dstrike w:val="0"/>
          <w:color w:val="000000"/>
          <w:sz w:val="32"/>
          <w:szCs w:val="32"/>
        </w:rPr>
        <w:t>设立</w:t>
      </w:r>
      <w:r>
        <w:rPr>
          <w:rFonts w:hint="eastAsia" w:ascii="仿宋_GB2312" w:hAnsi="仿宋_GB2312" w:eastAsia="仿宋_GB2312" w:cs="仿宋_GB2312"/>
          <w:color w:val="000000"/>
          <w:sz w:val="32"/>
          <w:szCs w:val="32"/>
        </w:rPr>
        <w:t>人民调解小组。</w:t>
      </w:r>
    </w:p>
    <w:p>
      <w:pPr>
        <w:pStyle w:val="2"/>
        <w:widowControl w:val="0"/>
        <w:wordWrap/>
        <w:spacing w:line="600" w:lineRule="exact"/>
        <w:ind w:left="0" w:leftChars="0" w:firstLine="0" w:firstLineChars="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 xml:space="preserve">    人民调解委员会应当加强对人民调解工作室、个人调解工作室、人民调解小组的指导、监督和管理。</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19" w:name="_Toc10662"/>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十五</w:t>
      </w:r>
      <w:r>
        <w:rPr>
          <w:rFonts w:hint="eastAsia" w:ascii="黑体" w:hAnsi="黑体" w:eastAsia="黑体" w:cs="黑体"/>
          <w:color w:val="000000"/>
          <w:sz w:val="32"/>
          <w:szCs w:val="32"/>
        </w:rPr>
        <w:t>条</w:t>
      </w:r>
      <w:bookmarkEnd w:id="19"/>
      <w:r>
        <w:rPr>
          <w:rFonts w:hint="eastAsia" w:ascii="黑体" w:hAnsi="黑体" w:eastAsia="黑体" w:cs="黑体"/>
          <w:color w:val="000000"/>
          <w:sz w:val="32"/>
          <w:szCs w:val="32"/>
          <w:lang w:val="en-US" w:eastAsia="zh-CN"/>
        </w:rPr>
        <w:t xml:space="preserve">  </w:t>
      </w:r>
      <w:r>
        <w:rPr>
          <w:rFonts w:hint="eastAsia" w:ascii="仿宋_GB2312" w:eastAsia="仿宋_GB2312"/>
          <w:color w:val="000000"/>
          <w:sz w:val="32"/>
          <w:szCs w:val="32"/>
          <w:lang w:eastAsia="zh-CN"/>
        </w:rPr>
        <w:t>人民调解委员会、人民调解委员会的设立单位或者设立组织有下列情形之一的，应当在</w:t>
      </w:r>
      <w:r>
        <w:rPr>
          <w:rFonts w:hint="eastAsia" w:ascii="仿宋_GB2312" w:eastAsia="仿宋_GB2312"/>
          <w:color w:val="000000"/>
          <w:sz w:val="32"/>
          <w:szCs w:val="32"/>
          <w:lang w:val="en-US" w:eastAsia="zh-CN"/>
        </w:rPr>
        <w:t>30日内，向所在地县级人民政府司法行政部门报送相关信息和材料：</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（一）设立、变更、撤销人民调解组织的；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（二）选任、聘任、罢免、解聘人民调解员的。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县级</w:t>
      </w:r>
      <w:r>
        <w:rPr>
          <w:rFonts w:hint="eastAsia" w:ascii="仿宋_GB2312" w:eastAsia="仿宋_GB2312"/>
          <w:color w:val="000000"/>
          <w:sz w:val="32"/>
          <w:szCs w:val="32"/>
        </w:rPr>
        <w:t>人民政府司法行政部门应当及时将</w:t>
      </w:r>
      <w:r>
        <w:rPr>
          <w:rFonts w:hint="eastAsia" w:ascii="仿宋_GB2312" w:eastAsia="仿宋_GB2312"/>
          <w:color w:val="000000"/>
          <w:sz w:val="32"/>
          <w:szCs w:val="32"/>
          <w:lang w:eastAsia="zh-CN"/>
        </w:rPr>
        <w:t>前款情形</w:t>
      </w:r>
      <w:r>
        <w:rPr>
          <w:rFonts w:hint="eastAsia" w:ascii="仿宋_GB2312" w:eastAsia="仿宋_GB2312"/>
          <w:color w:val="000000"/>
          <w:sz w:val="32"/>
          <w:szCs w:val="32"/>
        </w:rPr>
        <w:t>通报所在地基层人民法院，并向社会公开。</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20" w:name="_Toc7487"/>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十六</w:t>
      </w:r>
      <w:r>
        <w:rPr>
          <w:rFonts w:hint="eastAsia" w:ascii="黑体" w:hAnsi="黑体" w:eastAsia="黑体" w:cs="黑体"/>
          <w:color w:val="000000"/>
          <w:sz w:val="32"/>
          <w:szCs w:val="32"/>
        </w:rPr>
        <w:t>条</w:t>
      </w:r>
      <w:bookmarkEnd w:id="20"/>
      <w:r>
        <w:rPr>
          <w:rFonts w:hint="eastAsia" w:ascii="黑体" w:hAnsi="黑体" w:eastAsia="黑体" w:cs="黑体"/>
          <w:color w:val="000000"/>
          <w:sz w:val="32"/>
          <w:szCs w:val="32"/>
          <w:lang w:eastAsia="zh-CN"/>
        </w:rPr>
        <w:t xml:space="preserve">  </w:t>
      </w:r>
      <w:r>
        <w:rPr>
          <w:rFonts w:hint="eastAsia" w:ascii="仿宋_GB2312" w:eastAsia="仿宋_GB2312"/>
          <w:color w:val="000000"/>
          <w:sz w:val="32"/>
          <w:szCs w:val="32"/>
        </w:rPr>
        <w:t>人民调解委员会应当有固定的调解场所，使用统一规范的名称和人民调解标识，公开调解原则、</w:t>
      </w:r>
      <w:r>
        <w:rPr>
          <w:rFonts w:hint="eastAsia" w:ascii="仿宋_GB2312" w:eastAsia="仿宋_GB2312"/>
          <w:color w:val="000000"/>
          <w:sz w:val="32"/>
          <w:szCs w:val="32"/>
          <w:lang w:eastAsia="zh-CN"/>
        </w:rPr>
        <w:t>调解程序、</w:t>
      </w:r>
      <w:r>
        <w:rPr>
          <w:rFonts w:hint="eastAsia" w:ascii="仿宋_GB2312" w:eastAsia="仿宋_GB2312"/>
          <w:color w:val="000000"/>
          <w:sz w:val="32"/>
          <w:szCs w:val="32"/>
        </w:rPr>
        <w:t>工作纪律和人民调解员名单。</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1" w:name="_Toc17086"/>
      <w:r>
        <w:rPr>
          <w:rFonts w:hint="eastAsia" w:ascii="黑体" w:hAnsi="黑体" w:eastAsia="黑体"/>
          <w:color w:val="000000"/>
          <w:sz w:val="32"/>
          <w:szCs w:val="32"/>
        </w:rPr>
        <w:t>第</w:t>
      </w:r>
      <w:r>
        <w:rPr>
          <w:rFonts w:hint="eastAsia" w:ascii="黑体" w:hAnsi="黑体" w:eastAsia="黑体"/>
          <w:color w:val="000000"/>
          <w:sz w:val="32"/>
          <w:szCs w:val="32"/>
          <w:lang w:eastAsia="zh-CN"/>
        </w:rPr>
        <w:t>十七</w:t>
      </w:r>
      <w:r>
        <w:rPr>
          <w:rFonts w:hint="eastAsia" w:ascii="黑体" w:hAnsi="黑体" w:eastAsia="黑体"/>
          <w:color w:val="000000"/>
          <w:sz w:val="32"/>
          <w:szCs w:val="32"/>
        </w:rPr>
        <w:t>条</w:t>
      </w:r>
      <w:bookmarkEnd w:id="2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人民调解委员会印章是人民调解工作专用章，应当专管专用。</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hAnsi="黑体" w:eastAsia="仿宋_GB2312" w:cs="黑体"/>
          <w:color w:val="000000"/>
          <w:sz w:val="32"/>
          <w:szCs w:val="32"/>
        </w:rPr>
        <w:t>人民调解工作室、个人调解工作室</w:t>
      </w:r>
      <w:r>
        <w:rPr>
          <w:rFonts w:hint="eastAsia" w:ascii="仿宋_GB2312" w:hAnsi="黑体" w:eastAsia="仿宋_GB2312" w:cs="黑体"/>
          <w:color w:val="000000"/>
          <w:sz w:val="32"/>
          <w:szCs w:val="32"/>
          <w:lang w:eastAsia="zh-CN"/>
        </w:rPr>
        <w:t>、</w:t>
      </w:r>
      <w:r>
        <w:rPr>
          <w:rFonts w:hint="eastAsia" w:ascii="仿宋_GB2312" w:hAnsi="黑体" w:eastAsia="仿宋_GB2312" w:cs="黑体"/>
          <w:color w:val="000000"/>
          <w:sz w:val="32"/>
          <w:szCs w:val="32"/>
        </w:rPr>
        <w:t>人民调解小组开展人民调解工作，应当统一使用所属人民调解委员会印章。</w:t>
      </w:r>
    </w:p>
    <w:p>
      <w:pPr>
        <w:widowControl w:val="0"/>
        <w:wordWrap/>
        <w:adjustRightInd w:val="0"/>
        <w:snapToGrid w:val="0"/>
        <w:spacing w:line="600" w:lineRule="exact"/>
        <w:ind w:leftChars="0" w:firstLine="640" w:firstLineChars="200"/>
        <w:textAlignment w:val="auto"/>
        <w:rPr>
          <w:rFonts w:asci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十八</w:t>
      </w:r>
      <w:r>
        <w:rPr>
          <w:rFonts w:hint="eastAsia" w:ascii="黑体" w:hAnsi="黑体" w:eastAsia="黑体" w:cs="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hAnsi="黑体" w:eastAsia="仿宋_GB2312" w:cs="黑体"/>
          <w:color w:val="000000"/>
          <w:sz w:val="32"/>
          <w:szCs w:val="32"/>
        </w:rPr>
        <w:t>解委员会应当建立健全聘用考核、岗位责任、排查调解、回访督促、档案管理等各项</w:t>
      </w:r>
      <w:r>
        <w:rPr>
          <w:rFonts w:hint="eastAsia" w:ascii="仿宋_GB2312" w:hAnsi="黑体" w:eastAsia="仿宋_GB2312" w:cs="黑体"/>
          <w:color w:val="000000"/>
          <w:sz w:val="32"/>
          <w:szCs w:val="32"/>
          <w:lang w:eastAsia="zh-CN"/>
        </w:rPr>
        <w:t>调解</w:t>
      </w:r>
      <w:r>
        <w:rPr>
          <w:rFonts w:hint="eastAsia" w:ascii="仿宋_GB2312" w:hAnsi="黑体" w:eastAsia="仿宋_GB2312" w:cs="黑体"/>
          <w:color w:val="000000"/>
          <w:sz w:val="32"/>
          <w:szCs w:val="32"/>
        </w:rPr>
        <w:t>工</w:t>
      </w:r>
      <w:r>
        <w:rPr>
          <w:rFonts w:hint="eastAsia" w:ascii="仿宋_GB2312" w:eastAsia="仿宋_GB2312"/>
          <w:color w:val="000000"/>
          <w:sz w:val="32"/>
          <w:szCs w:val="32"/>
        </w:rPr>
        <w:t>作制度。</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22" w:name="_Toc22173"/>
      <w:bookmarkStart w:id="23" w:name="_Toc32725"/>
      <w:r>
        <w:rPr>
          <w:rFonts w:hint="eastAsia" w:ascii="黑体" w:hAnsi="黑体" w:eastAsia="黑体"/>
          <w:color w:val="000000"/>
          <w:sz w:val="32"/>
          <w:szCs w:val="32"/>
        </w:rPr>
        <w:t>第三章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人民调解员</w:t>
      </w:r>
      <w:bookmarkEnd w:id="22"/>
      <w:bookmarkEnd w:id="23"/>
    </w:p>
    <w:p>
      <w:pPr>
        <w:widowControl w:val="0"/>
        <w:wordWrap/>
        <w:adjustRightInd w:val="0"/>
        <w:snapToGrid w:val="0"/>
        <w:spacing w:line="600" w:lineRule="exact"/>
        <w:ind w:left="0" w:leftChars="0" w:right="0" w:firstLine="640" w:firstLineChars="200"/>
        <w:textAlignment w:val="auto"/>
        <w:outlineLvl w:val="9"/>
        <w:rPr>
          <w:rFonts w:ascii="仿宋_GB2312" w:eastAsia="仿宋_GB2312"/>
          <w:strike w:val="0"/>
          <w:dstrike/>
          <w:color w:val="000000"/>
          <w:sz w:val="32"/>
          <w:szCs w:val="32"/>
        </w:rPr>
      </w:pPr>
      <w:bookmarkStart w:id="24" w:name="_Toc16545"/>
      <w:r>
        <w:rPr>
          <w:rFonts w:hint="eastAsia" w:ascii="黑体" w:hAnsi="黑体" w:eastAsia="黑体"/>
          <w:color w:val="000000"/>
          <w:sz w:val="32"/>
          <w:szCs w:val="32"/>
          <w:lang w:eastAsia="zh-CN"/>
        </w:rPr>
        <w:t>第十九</w:t>
      </w:r>
      <w:r>
        <w:rPr>
          <w:rFonts w:hint="eastAsia" w:ascii="黑体" w:hAnsi="黑体" w:eastAsia="黑体"/>
          <w:color w:val="000000"/>
          <w:sz w:val="32"/>
          <w:szCs w:val="32"/>
        </w:rPr>
        <w:t>条</w:t>
      </w:r>
      <w:bookmarkEnd w:id="2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人民调解员由人民调解委员会委员和人民调解委员会聘任的人员担任。</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eastAsia="zh-CN"/>
        </w:rPr>
      </w:pPr>
      <w:bookmarkStart w:id="25" w:name="_Toc11776"/>
      <w:r>
        <w:rPr>
          <w:rFonts w:hint="eastAsia" w:ascii="黑体" w:hAnsi="黑体" w:eastAsia="黑体"/>
          <w:color w:val="000000"/>
          <w:sz w:val="32"/>
          <w:szCs w:val="32"/>
        </w:rPr>
        <w:t>第</w:t>
      </w:r>
      <w:r>
        <w:rPr>
          <w:rFonts w:hint="eastAsia" w:ascii="黑体" w:hAnsi="黑体" w:eastAsia="黑体"/>
          <w:color w:val="000000"/>
          <w:sz w:val="32"/>
          <w:szCs w:val="32"/>
          <w:lang w:eastAsia="zh-CN"/>
        </w:rPr>
        <w:t>二十</w:t>
      </w:r>
      <w:r>
        <w:rPr>
          <w:rFonts w:hint="eastAsia" w:ascii="黑体" w:hAnsi="黑体" w:eastAsia="黑体"/>
          <w:color w:val="000000"/>
          <w:sz w:val="32"/>
          <w:szCs w:val="32"/>
        </w:rPr>
        <w:t>条</w:t>
      </w:r>
      <w:bookmarkEnd w:id="25"/>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人民调解员分为专职人民调解员和兼职人民调解员。</w:t>
      </w:r>
      <w:r>
        <w:rPr>
          <w:rFonts w:hint="eastAsia" w:ascii="仿宋_GB2312" w:eastAsia="仿宋_GB2312"/>
          <w:color w:val="000000"/>
          <w:sz w:val="32"/>
          <w:szCs w:val="32"/>
          <w:lang w:eastAsia="zh-CN"/>
        </w:rPr>
        <w:t>专职人民调解员是经人民调解委员会聘任，专门从事人民调解工作的人员。</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村民委员会、居民委员会的人民调解委员会应当有</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名以上的专职人民调解员；乡镇</w:t>
      </w:r>
      <w:r>
        <w:rPr>
          <w:rFonts w:hint="eastAsia" w:ascii="仿宋_GB2312" w:eastAsia="仿宋_GB2312"/>
          <w:color w:val="000000"/>
          <w:sz w:val="32"/>
          <w:szCs w:val="32"/>
          <w:lang w:eastAsia="zh-CN"/>
        </w:rPr>
        <w:t>、街道</w:t>
      </w:r>
      <w:r>
        <w:rPr>
          <w:rFonts w:hint="eastAsia" w:ascii="仿宋_GB2312" w:eastAsia="仿宋_GB2312"/>
          <w:color w:val="000000"/>
          <w:sz w:val="32"/>
          <w:szCs w:val="32"/>
        </w:rPr>
        <w:t>人民调解委员会应当有</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名以上的专职人民调解员；行业性、专业性人民调解委员会应当有</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名以上的专职人民调解员。</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各级人民政府应当鼓励和支持人民调解委员会配备专职人民调解员。</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6" w:name="_Toc2171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二十一</w:t>
      </w:r>
      <w:r>
        <w:rPr>
          <w:rFonts w:hint="eastAsia" w:ascii="黑体" w:hAnsi="黑体" w:eastAsia="黑体"/>
          <w:color w:val="000000"/>
          <w:sz w:val="32"/>
          <w:szCs w:val="32"/>
        </w:rPr>
        <w:t>条</w:t>
      </w:r>
      <w:bookmarkEnd w:id="2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人民调解员应当由具备下列条件的成年公民担任：</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（一）遵守宪法、法律和法规；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（二）公道正派，群众认可，热心人民调解工作；</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strike w:val="0"/>
          <w:dstrike w:val="0"/>
          <w:color w:val="000000"/>
          <w:sz w:val="32"/>
          <w:szCs w:val="32"/>
          <w:lang w:eastAsia="zh-CN"/>
        </w:rPr>
      </w:pPr>
      <w:r>
        <w:rPr>
          <w:rFonts w:hint="eastAsia" w:ascii="仿宋_GB2312" w:eastAsia="仿宋_GB2312"/>
          <w:color w:val="000000"/>
          <w:sz w:val="32"/>
          <w:szCs w:val="32"/>
        </w:rPr>
        <w:t>（三）具有一定文化水平、政策水平和法律知识</w:t>
      </w:r>
      <w:r>
        <w:rPr>
          <w:rFonts w:hint="eastAsia" w:ascii="黑体" w:hAnsi="黑体" w:eastAsia="黑体" w:cs="黑体"/>
          <w:strike w:val="0"/>
          <w:dstrike w:val="0"/>
          <w:color w:val="000000"/>
          <w:sz w:val="32"/>
          <w:szCs w:val="32"/>
          <w:lang w:eastAsia="zh-CN"/>
        </w:rPr>
        <w:t>。</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行业性、专业性人民调解委员会的人民调解员还应当具备相关行业、专业知识或者工作经验。</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7" w:name="_Toc6750"/>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二十二</w:t>
      </w:r>
      <w:r>
        <w:rPr>
          <w:rFonts w:hint="eastAsia" w:ascii="黑体" w:hAnsi="黑体" w:eastAsia="黑体"/>
          <w:color w:val="000000"/>
          <w:sz w:val="32"/>
          <w:szCs w:val="32"/>
        </w:rPr>
        <w:t>条</w:t>
      </w:r>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人民调解员从事调解工作，应当给予其适当</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rPr>
        <w:t>报酬或者补贴。</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人民调解员的报酬或者补贴根据国家和省有关规定确定</w:t>
      </w:r>
      <w:r>
        <w:rPr>
          <w:rFonts w:hint="eastAsia" w:ascii="仿宋_GB2312" w:eastAsia="仿宋_GB2312"/>
          <w:color w:val="000000"/>
          <w:sz w:val="32"/>
          <w:szCs w:val="32"/>
        </w:rPr>
        <w:t>。</w:t>
      </w:r>
      <w:bookmarkEnd w:id="27"/>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eastAsia="zh-CN"/>
        </w:rPr>
      </w:pPr>
      <w:bookmarkStart w:id="28" w:name="_Toc1833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二十三</w:t>
      </w:r>
      <w:r>
        <w:rPr>
          <w:rFonts w:hint="eastAsia" w:ascii="黑体" w:hAnsi="黑体" w:eastAsia="黑体"/>
          <w:color w:val="000000"/>
          <w:sz w:val="32"/>
          <w:szCs w:val="32"/>
        </w:rPr>
        <w:t>条</w:t>
      </w:r>
      <w:bookmarkEnd w:id="2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人民调解员依法履行职责，受到非法干涉、打击报复、侮辱或者人身、财产侵害的，公安、司法行政等有关部门以及人民调解委员会应当依法予以保护。</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人民调解员因从事调解工作致伤致残，当地人民政府应当提供必要的医疗、生活等救助；在人民调解工作岗位上牺牲的人民调解员，其父母、配偶、子女按照国家规定享受抚恤和优待。</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29" w:name="_Toc6826"/>
      <w:r>
        <w:rPr>
          <w:rFonts w:hint="eastAsia" w:ascii="黑体" w:hAnsi="黑体" w:eastAsia="黑体"/>
          <w:color w:val="000000"/>
          <w:sz w:val="32"/>
          <w:szCs w:val="32"/>
        </w:rPr>
        <w:t>第</w:t>
      </w:r>
      <w:r>
        <w:rPr>
          <w:rFonts w:hint="eastAsia" w:ascii="黑体" w:hAnsi="黑体" w:eastAsia="黑体"/>
          <w:color w:val="000000"/>
          <w:sz w:val="32"/>
          <w:szCs w:val="32"/>
          <w:lang w:eastAsia="zh-CN"/>
        </w:rPr>
        <w:t>二十四</w:t>
      </w:r>
      <w:r>
        <w:rPr>
          <w:rFonts w:hint="eastAsia" w:ascii="黑体" w:hAnsi="黑体" w:eastAsia="黑体"/>
          <w:color w:val="000000"/>
          <w:sz w:val="32"/>
          <w:szCs w:val="32"/>
        </w:rPr>
        <w:t>条</w:t>
      </w:r>
      <w:bookmarkEnd w:id="2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人民调解员从事人民调解工作，享有下列权利：</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（一）根据调解工作需要，调查核实纠纷情况和证据材料；</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（二）批评、</w:t>
      </w:r>
      <w:r>
        <w:rPr>
          <w:rFonts w:hint="eastAsia" w:ascii="仿宋_GB2312" w:eastAsia="仿宋_GB2312"/>
          <w:color w:val="000000"/>
          <w:sz w:val="32"/>
          <w:szCs w:val="32"/>
          <w:lang w:eastAsia="zh-CN"/>
        </w:rPr>
        <w:t>劝阻</w:t>
      </w:r>
      <w:r>
        <w:rPr>
          <w:rFonts w:hint="eastAsia" w:ascii="仿宋_GB2312" w:eastAsia="仿宋_GB2312"/>
          <w:color w:val="000000"/>
          <w:sz w:val="32"/>
          <w:szCs w:val="32"/>
        </w:rPr>
        <w:t>扰乱调解秩序的行为；</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（三）向有关单位提出调解工作意见和建议；</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）法律、法规规定的其他权利。</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pacing w:val="-8"/>
          <w:sz w:val="32"/>
          <w:szCs w:val="32"/>
        </w:rPr>
      </w:pPr>
      <w:bookmarkStart w:id="30" w:name="_Toc24722"/>
      <w:r>
        <w:rPr>
          <w:rFonts w:hint="eastAsia" w:ascii="黑体" w:hAnsi="黑体" w:eastAsia="黑体"/>
          <w:color w:val="000000"/>
          <w:sz w:val="32"/>
          <w:szCs w:val="32"/>
        </w:rPr>
        <w:t>第</w:t>
      </w:r>
      <w:r>
        <w:rPr>
          <w:rFonts w:hint="eastAsia" w:ascii="黑体" w:hAnsi="黑体" w:eastAsia="黑体"/>
          <w:color w:val="000000"/>
          <w:sz w:val="32"/>
          <w:szCs w:val="32"/>
          <w:lang w:eastAsia="zh-CN"/>
        </w:rPr>
        <w:t>二十五</w:t>
      </w:r>
      <w:r>
        <w:rPr>
          <w:rFonts w:hint="eastAsia" w:ascii="黑体" w:hAnsi="黑体" w:eastAsia="黑体"/>
          <w:color w:val="000000"/>
          <w:sz w:val="32"/>
          <w:szCs w:val="32"/>
        </w:rPr>
        <w:t>条</w:t>
      </w:r>
      <w:bookmarkEnd w:id="30"/>
      <w:r>
        <w:rPr>
          <w:rFonts w:hint="eastAsia" w:ascii="黑体" w:hAnsi="黑体" w:eastAsia="黑体"/>
          <w:color w:val="000000"/>
          <w:sz w:val="32"/>
          <w:szCs w:val="32"/>
          <w:lang w:eastAsia="zh-CN"/>
        </w:rPr>
        <w:t xml:space="preserve">  </w:t>
      </w:r>
      <w:r>
        <w:rPr>
          <w:rFonts w:hint="eastAsia" w:ascii="仿宋_GB2312" w:eastAsia="仿宋_GB2312"/>
          <w:color w:val="000000"/>
          <w:spacing w:val="-8"/>
          <w:sz w:val="32"/>
          <w:szCs w:val="32"/>
        </w:rPr>
        <w:t>人民调解员从事人民调解工作，不得有下列行为：</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（一）偏袒一方当事人；</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（二）压制、侮辱、欺骗、威胁当事人；</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（三）索取、收受财物或者牟取其他不正当利益；</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（四）泄露当事人的个人隐私、商业秘密；</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（五）隐匿、毁灭当事人的证据材料；</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（六）阻止当事人依法通过仲裁、行政、司法等途径维护自己的权利；</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（七）收费或者变相收费；</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（八）其他违反人民调解相关规定的行为。　　　</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31" w:name="_Toc26627"/>
      <w:bookmarkStart w:id="32" w:name="_Toc12108"/>
      <w:r>
        <w:rPr>
          <w:rFonts w:hint="eastAsia" w:ascii="黑体" w:hAnsi="黑体" w:eastAsia="黑体"/>
          <w:color w:val="000000"/>
          <w:sz w:val="32"/>
          <w:szCs w:val="32"/>
        </w:rPr>
        <w:t>第四章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调解程序</w:t>
      </w:r>
      <w:bookmarkEnd w:id="31"/>
      <w:bookmarkEnd w:id="32"/>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33" w:name="_Toc20977"/>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二十六</w:t>
      </w:r>
      <w:r>
        <w:rPr>
          <w:rFonts w:hint="eastAsia" w:ascii="黑体" w:hAnsi="黑体" w:eastAsia="黑体"/>
          <w:color w:val="000000"/>
          <w:sz w:val="32"/>
          <w:szCs w:val="32"/>
        </w:rPr>
        <w:t>条</w:t>
      </w:r>
      <w:bookmarkEnd w:id="3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受理发生在公民之间、公民与法人、其他社会组织之间涉及民事权利义务争议的各种纠纷，以及其他依法可以调解的民间纠纷。</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bookmarkStart w:id="34" w:name="_Toc400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二十七</w:t>
      </w:r>
      <w:r>
        <w:rPr>
          <w:rFonts w:hint="eastAsia" w:ascii="黑体" w:hAnsi="黑体" w:eastAsia="黑体"/>
          <w:color w:val="000000"/>
          <w:sz w:val="32"/>
          <w:szCs w:val="32"/>
        </w:rPr>
        <w:t>条</w:t>
      </w:r>
      <w:bookmarkEnd w:id="34"/>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不得受理调解下列纠纷：</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（一）法律、法规规定只能由专门机关管辖处理的；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（二）法律、法规禁止采用人民调解方式解决的；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strike w:val="0"/>
          <w:dstrike/>
          <w:color w:val="000000"/>
          <w:sz w:val="32"/>
          <w:szCs w:val="32"/>
        </w:rPr>
      </w:pPr>
      <w:r>
        <w:rPr>
          <w:rFonts w:hint="eastAsia" w:ascii="仿宋_GB2312" w:eastAsia="仿宋_GB2312"/>
          <w:color w:val="000000"/>
          <w:sz w:val="32"/>
          <w:szCs w:val="32"/>
        </w:rPr>
        <w:t>（三）国家机关、仲裁机构已经处理或者受理，且未委托人民调解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进行调解或者邀请人民调解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协助调解的</w:t>
      </w:r>
      <w:r>
        <w:rPr>
          <w:rFonts w:hint="eastAsia" w:ascii="黑体" w:hAnsi="黑体" w:eastAsia="黑体" w:cs="黑体"/>
          <w:color w:val="000000"/>
          <w:sz w:val="32"/>
          <w:szCs w:val="32"/>
          <w:lang w:eastAsia="zh-CN"/>
        </w:rPr>
        <w:t>。</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35" w:name="_Toc15549"/>
      <w:r>
        <w:rPr>
          <w:rFonts w:hint="eastAsia" w:ascii="黑体" w:hAnsi="黑体" w:eastAsia="黑体"/>
          <w:color w:val="000000"/>
          <w:sz w:val="32"/>
          <w:szCs w:val="32"/>
        </w:rPr>
        <w:t>第</w:t>
      </w:r>
      <w:r>
        <w:rPr>
          <w:rFonts w:hint="eastAsia" w:ascii="黑体" w:hAnsi="黑体" w:eastAsia="黑体"/>
          <w:color w:val="000000"/>
          <w:sz w:val="32"/>
          <w:szCs w:val="32"/>
          <w:lang w:eastAsia="zh-CN"/>
        </w:rPr>
        <w:t>二十八</w:t>
      </w:r>
      <w:r>
        <w:rPr>
          <w:rFonts w:hint="eastAsia" w:ascii="黑体" w:hAnsi="黑体" w:eastAsia="黑体"/>
          <w:color w:val="000000"/>
          <w:sz w:val="32"/>
          <w:szCs w:val="32"/>
        </w:rPr>
        <w:t>条</w:t>
      </w:r>
      <w:bookmarkEnd w:id="35"/>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w:t>
      </w:r>
      <w:r>
        <w:rPr>
          <w:rFonts w:hint="eastAsia" w:ascii="仿宋_GB2312" w:eastAsia="仿宋_GB2312"/>
          <w:color w:val="000000"/>
          <w:sz w:val="32"/>
          <w:szCs w:val="32"/>
        </w:rPr>
        <w:t>对不符合受理条件的纠纷，应当告知当事人依法通过其他法定途径处理；对可能激化的纠纷，应当采取有针对性的预防措施，及时向当地公安机关或者其他有关部门报告。</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6" w:name="_Toc14535"/>
      <w:r>
        <w:rPr>
          <w:rFonts w:hint="eastAsia" w:ascii="黑体" w:hAnsi="黑体" w:eastAsia="黑体"/>
          <w:color w:val="000000"/>
          <w:sz w:val="32"/>
          <w:szCs w:val="32"/>
        </w:rPr>
        <w:t>第</w:t>
      </w:r>
      <w:r>
        <w:rPr>
          <w:rFonts w:hint="eastAsia" w:ascii="黑体" w:hAnsi="黑体" w:eastAsia="黑体"/>
          <w:color w:val="000000"/>
          <w:sz w:val="32"/>
          <w:szCs w:val="32"/>
          <w:lang w:eastAsia="zh-CN"/>
        </w:rPr>
        <w:t>二十九</w:t>
      </w:r>
      <w:r>
        <w:rPr>
          <w:rFonts w:hint="eastAsia" w:ascii="黑体" w:hAnsi="黑体" w:eastAsia="黑体"/>
          <w:color w:val="000000"/>
          <w:sz w:val="32"/>
          <w:szCs w:val="32"/>
        </w:rPr>
        <w:t>条</w:t>
      </w:r>
      <w:bookmarkEnd w:id="3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民间纠纷一般由纠纷发生地或者当事人所在地（</w:t>
      </w:r>
      <w:r>
        <w:rPr>
          <w:rFonts w:hint="eastAsia" w:ascii="仿宋_GB2312" w:eastAsia="仿宋_GB2312"/>
          <w:color w:val="000000"/>
          <w:sz w:val="32"/>
          <w:szCs w:val="32"/>
          <w:lang w:eastAsia="zh-CN"/>
        </w:rPr>
        <w:t>所在</w:t>
      </w:r>
      <w:r>
        <w:rPr>
          <w:rFonts w:hint="eastAsia" w:ascii="仿宋_GB2312" w:eastAsia="仿宋_GB2312"/>
          <w:color w:val="000000"/>
          <w:sz w:val="32"/>
          <w:szCs w:val="32"/>
        </w:rPr>
        <w:t>单位）的人民</w:t>
      </w:r>
      <w:r>
        <w:rPr>
          <w:rFonts w:hint="eastAsia" w:ascii="仿宋_GB2312" w:eastAsia="仿宋_GB2312"/>
          <w:color w:val="000000"/>
          <w:sz w:val="32"/>
          <w:szCs w:val="32"/>
          <w:lang w:val="en-US" w:eastAsia="zh-CN"/>
        </w:rPr>
        <w:t>调解委员会受理。</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特定行业、专业领域的纠纷一般由相应的行业性、专业性人民调解委员会受理。</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当事人可以协商选择人民调解委员会调</w:t>
      </w:r>
      <w:r>
        <w:rPr>
          <w:rFonts w:hint="eastAsia" w:ascii="仿宋_GB2312" w:eastAsia="仿宋_GB2312"/>
          <w:color w:val="000000"/>
          <w:sz w:val="32"/>
          <w:szCs w:val="32"/>
        </w:rPr>
        <w:t>解民间纠纷。</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7" w:name="_Toc22758"/>
      <w:r>
        <w:rPr>
          <w:rFonts w:hint="eastAsia" w:ascii="黑体" w:hAnsi="黑体" w:eastAsia="黑体"/>
          <w:color w:val="000000"/>
          <w:sz w:val="32"/>
          <w:szCs w:val="32"/>
        </w:rPr>
        <w:t>第三十条</w:t>
      </w:r>
      <w:bookmarkEnd w:id="37"/>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当事人可以向人民</w:t>
      </w:r>
      <w:r>
        <w:rPr>
          <w:rFonts w:hint="eastAsia" w:ascii="仿宋_GB2312" w:eastAsia="仿宋_GB2312"/>
          <w:color w:val="000000"/>
          <w:sz w:val="32"/>
          <w:szCs w:val="32"/>
          <w:lang w:val="en-US" w:eastAsia="zh-CN"/>
        </w:rPr>
        <w:t>调解委员会申请调解，人民调解委员会也可以主动调解。当事人一方明确拒绝调解的，人民调解委员会不得调解。</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当事人书面申请调解的，应当填写人民调解申请书；当事人口头申请调解或者</w:t>
      </w:r>
      <w:r>
        <w:rPr>
          <w:rFonts w:hint="eastAsia" w:ascii="仿宋_GB2312" w:eastAsia="仿宋_GB2312"/>
          <w:color w:val="000000"/>
          <w:sz w:val="32"/>
          <w:szCs w:val="32"/>
          <w:lang w:val="en-US" w:eastAsia="zh-CN"/>
        </w:rPr>
        <w:t>人民调解委员会主动调解的，人民调解委员会应当填写人民调解受理登记表。</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8" w:name="_Toc852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一</w:t>
      </w:r>
      <w:r>
        <w:rPr>
          <w:rFonts w:hint="eastAsia" w:ascii="黑体" w:hAnsi="黑体" w:eastAsia="黑体"/>
          <w:color w:val="000000"/>
          <w:sz w:val="32"/>
          <w:szCs w:val="32"/>
        </w:rPr>
        <w:t>条</w:t>
      </w:r>
      <w:bookmarkEnd w:id="38"/>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基层人民法院、人民检察院、公安机关、信访机构或者其他国家机关对适宜通过人民调解方式解决的纠纷，可以在受理前告知当事人</w:t>
      </w:r>
      <w:r>
        <w:rPr>
          <w:rFonts w:hint="eastAsia" w:ascii="仿宋_GB2312" w:eastAsia="仿宋_GB2312"/>
          <w:color w:val="000000"/>
          <w:sz w:val="32"/>
          <w:szCs w:val="32"/>
          <w:lang w:val="en-US" w:eastAsia="zh-CN"/>
        </w:rPr>
        <w:t>向人民调解委员会申请调解，在征得当事人同意后书面向人民调解委员会移送；也可以在受理后书面委托人民调解委员会调解或者邀请人民调解委员会协助调解，但应当征得当事人和人民调解委员会的同意。</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接受</w:t>
      </w:r>
      <w:r>
        <w:rPr>
          <w:rFonts w:hint="eastAsia" w:ascii="仿宋_GB2312" w:eastAsia="仿宋_GB2312"/>
          <w:color w:val="000000"/>
          <w:sz w:val="32"/>
          <w:szCs w:val="32"/>
          <w:lang w:val="en-US" w:eastAsia="zh-CN"/>
        </w:rPr>
        <w:t>移送</w:t>
      </w:r>
      <w:r>
        <w:rPr>
          <w:rFonts w:hint="eastAsia" w:ascii="仿宋_GB2312" w:eastAsia="仿宋_GB2312"/>
          <w:color w:val="000000"/>
          <w:sz w:val="32"/>
          <w:szCs w:val="32"/>
        </w:rPr>
        <w:t>或者委托</w:t>
      </w:r>
      <w:r>
        <w:rPr>
          <w:rFonts w:hint="eastAsia" w:ascii="仿宋_GB2312" w:eastAsia="仿宋_GB2312"/>
          <w:color w:val="000000"/>
          <w:sz w:val="32"/>
          <w:szCs w:val="32"/>
          <w:lang w:val="en-US" w:eastAsia="zh-CN"/>
        </w:rPr>
        <w:t>的人民调解委员会应当及时向移送或者委托的机关告知调解处理情况。</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基层人民法院、人民检察院、公安机关、信访机构或者其他国家机关移送或者委托人民调解委员会调解纠纷的，应当给予接受移送或者委托的人民调解委员会必要的指导和支持。</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39" w:name="_Toc2395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二</w:t>
      </w:r>
      <w:r>
        <w:rPr>
          <w:rFonts w:hint="eastAsia" w:ascii="黑体" w:hAnsi="黑体" w:eastAsia="黑体"/>
          <w:color w:val="000000"/>
          <w:sz w:val="32"/>
          <w:szCs w:val="32"/>
        </w:rPr>
        <w:t>条</w:t>
      </w:r>
      <w:bookmarkEnd w:id="39"/>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民间纠纷可由</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名或者数名人民调解员调解。调解纠纷的人民调解员由当事人在人民调解员名册中共同选定。</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有下列情形之一的，人民调解员由人民调解委员会指定：</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（一）由人民调解委员会主动调解的；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（二）当事人未选定人民调解员的；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（三）当事人对人民调解员的选定未达成共识的。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40" w:name="_Toc31071"/>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三</w:t>
      </w:r>
      <w:r>
        <w:rPr>
          <w:rFonts w:hint="eastAsia" w:ascii="黑体" w:hAnsi="黑体" w:eastAsia="黑体"/>
          <w:color w:val="000000"/>
          <w:sz w:val="32"/>
          <w:szCs w:val="32"/>
        </w:rPr>
        <w:t>条</w:t>
      </w:r>
      <w:bookmarkEnd w:id="4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纠纷双方当事人人数较多的，应当推举代表人参加调解，每方代表人数不超过</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人，并确定</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名主要代表人。</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1" w:name="_Toc16698"/>
      <w:r>
        <w:rPr>
          <w:rFonts w:hint="eastAsia" w:ascii="黑体" w:hAnsi="黑体" w:eastAsia="黑体"/>
          <w:color w:val="000000"/>
          <w:sz w:val="32"/>
          <w:szCs w:val="32"/>
        </w:rPr>
        <w:t>第三十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bookmarkEnd w:id="41"/>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解委员会调解纠纷，一般在专门设置的调解场所进行，根据需要也可以在便利当事人或者有利于调解的其他场所进行。</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2" w:name="_Toc12344"/>
      <w:r>
        <w:rPr>
          <w:rFonts w:hint="eastAsia" w:ascii="黑体" w:hAnsi="黑体" w:eastAsia="黑体"/>
          <w:color w:val="000000"/>
          <w:sz w:val="32"/>
          <w:szCs w:val="32"/>
        </w:rPr>
        <w:t>第三十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bookmarkEnd w:id="4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解委员会调解纠纷，一般按照以下程序进行：</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（一）告知当事人调解规则和有关事项；</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（二）听取当事人的陈述，核对证据材料，根据需要进行调查核实；</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（三）向当事人讲解有关法律、法规和政策，耐心疏导；</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（四）在当事人平等协商、互谅互让的基础上，提出纠纷解决方案；</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（五）引导当事人自愿达成调解协议。</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解委员会可以根据纠纷的不同情况和特点，采取多种方式和程序调解纠纷。对争议不大的民间纠纷，可以采用简便方式进行调解。</w:t>
      </w:r>
      <w:bookmarkStart w:id="43" w:name="_Toc1603"/>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第三十</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bookmarkEnd w:id="4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员在征得当事人同意后，可以邀请当事人的亲属、邻里、同事或者当事人所在单位派员协助调解，也可以邀请具有专门知识、特定社会经验的人员或者有一定名望的人员协助调解，必要时可以向相关专家咨询。</w:t>
      </w:r>
      <w:r>
        <w:rPr>
          <w:rFonts w:hint="eastAsia" w:ascii="仿宋_GB2312" w:eastAsia="仿宋_GB2312"/>
          <w:color w:val="000000"/>
          <w:sz w:val="32"/>
          <w:szCs w:val="32"/>
          <w:lang w:eastAsia="zh-CN"/>
        </w:rPr>
        <w:t xml:space="preserve">  </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44" w:name="_Toc30462"/>
      <w:r>
        <w:rPr>
          <w:rFonts w:hint="eastAsia" w:ascii="黑体" w:hAnsi="黑体" w:eastAsia="黑体"/>
          <w:color w:val="000000"/>
          <w:sz w:val="32"/>
          <w:szCs w:val="32"/>
        </w:rPr>
        <w:t>第三十</w:t>
      </w:r>
      <w:r>
        <w:rPr>
          <w:rFonts w:hint="eastAsia" w:ascii="黑体" w:hAnsi="黑体" w:eastAsia="黑体"/>
          <w:color w:val="000000"/>
          <w:sz w:val="32"/>
          <w:szCs w:val="32"/>
          <w:lang w:eastAsia="zh-CN"/>
        </w:rPr>
        <w:t>七</w:t>
      </w:r>
      <w:r>
        <w:rPr>
          <w:rFonts w:hint="eastAsia" w:ascii="黑体" w:hAnsi="黑体" w:eastAsia="黑体"/>
          <w:color w:val="000000"/>
          <w:sz w:val="32"/>
          <w:szCs w:val="32"/>
        </w:rPr>
        <w:t>条</w:t>
      </w:r>
      <w:bookmarkEnd w:id="44"/>
      <w:r>
        <w:rPr>
          <w:rFonts w:hint="eastAsia" w:ascii="黑体" w:hAnsi="黑体" w:eastAsia="黑体"/>
          <w:color w:val="000000"/>
          <w:sz w:val="32"/>
          <w:szCs w:val="32"/>
          <w:lang w:val="en-US" w:eastAsia="zh-CN"/>
        </w:rPr>
        <w:t xml:space="preserve">  </w:t>
      </w:r>
      <w:r>
        <w:rPr>
          <w:rFonts w:hint="eastAsia" w:ascii="仿宋_GB2312" w:eastAsia="仿宋_GB2312"/>
          <w:color w:val="000000"/>
          <w:sz w:val="32"/>
          <w:szCs w:val="32"/>
        </w:rPr>
        <w:t>人民调</w:t>
      </w:r>
      <w:r>
        <w:rPr>
          <w:rFonts w:hint="eastAsia" w:ascii="仿宋_GB2312" w:eastAsia="仿宋_GB2312"/>
          <w:color w:val="000000"/>
          <w:sz w:val="32"/>
          <w:szCs w:val="32"/>
          <w:lang w:val="en-US" w:eastAsia="zh-CN"/>
        </w:rPr>
        <w:t>解委员会在不违反法律、法规、国家政策规定的前提下，可以参考行业</w:t>
      </w:r>
      <w:r>
        <w:rPr>
          <w:rFonts w:hint="eastAsia" w:ascii="仿宋_GB2312" w:eastAsia="仿宋_GB2312"/>
          <w:color w:val="000000"/>
          <w:sz w:val="32"/>
          <w:szCs w:val="32"/>
        </w:rPr>
        <w:t>惯例、村规民约、居民公约等，引导当事人达成调解协议。</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5" w:name="_Toc30823"/>
      <w:r>
        <w:rPr>
          <w:rFonts w:hint="eastAsia" w:ascii="黑体" w:hAnsi="黑体" w:eastAsia="黑体"/>
          <w:color w:val="000000"/>
          <w:sz w:val="32"/>
          <w:szCs w:val="32"/>
        </w:rPr>
        <w:t>第三十</w:t>
      </w:r>
      <w:r>
        <w:rPr>
          <w:rFonts w:hint="eastAsia" w:ascii="黑体" w:hAnsi="黑体" w:eastAsia="黑体"/>
          <w:color w:val="000000"/>
          <w:sz w:val="32"/>
          <w:szCs w:val="32"/>
          <w:lang w:eastAsia="zh-CN"/>
        </w:rPr>
        <w:t>八</w:t>
      </w:r>
      <w:r>
        <w:rPr>
          <w:rFonts w:hint="eastAsia" w:ascii="黑体" w:hAnsi="黑体" w:eastAsia="黑体"/>
          <w:color w:val="000000"/>
          <w:sz w:val="32"/>
          <w:szCs w:val="32"/>
        </w:rPr>
        <w:t>条</w:t>
      </w:r>
      <w:bookmarkEnd w:id="45"/>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委员会调解纠纷，一般自受理之日起30日内调结。</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因特殊情况需要延长调解期限的，人民调解委员会和当事人可以约定延长的期限；不能约定延长期限或者超过约</w:t>
      </w:r>
      <w:r>
        <w:rPr>
          <w:rFonts w:hint="eastAsia" w:ascii="仿宋_GB2312" w:eastAsia="仿宋_GB2312"/>
          <w:color w:val="000000"/>
          <w:sz w:val="32"/>
          <w:szCs w:val="32"/>
        </w:rPr>
        <w:t>定期限仍未达成调解协议的，视为调解不成。</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法律、法规对调解期限另有规定的，从其规定。</w:t>
      </w:r>
    </w:p>
    <w:p>
      <w:pPr>
        <w:widowControl w:val="0"/>
        <w:wordWrap/>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三十九</w:t>
      </w:r>
      <w:r>
        <w:rPr>
          <w:rFonts w:hint="eastAsia" w:ascii="黑体" w:hAnsi="黑体" w:eastAsia="黑体"/>
          <w:color w:val="000000"/>
          <w:sz w:val="32"/>
          <w:szCs w:val="32"/>
        </w:rPr>
        <w:t>条</w:t>
      </w:r>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当事人在人民调解活动中享有下列权利：</w:t>
      </w:r>
    </w:p>
    <w:p>
      <w:pPr>
        <w:widowControl w:val="0"/>
        <w:wordWrap/>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（一）选择或者接受人民调解员；</w:t>
      </w:r>
    </w:p>
    <w:p>
      <w:pPr>
        <w:widowControl w:val="0"/>
        <w:wordWrap/>
        <w:spacing w:line="600" w:lineRule="exact"/>
        <w:ind w:left="0" w:leftChars="0" w:right="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（二）接受调解、拒绝调解或者要求终止调解；</w:t>
      </w:r>
    </w:p>
    <w:p>
      <w:pPr>
        <w:widowControl w:val="0"/>
        <w:wordWrap/>
        <w:spacing w:line="600" w:lineRule="exact"/>
        <w:ind w:left="0" w:leftChars="0" w:right="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（三）要求调解公开进行或者不公开进行；</w:t>
      </w:r>
    </w:p>
    <w:p>
      <w:pPr>
        <w:widowControl w:val="0"/>
        <w:wordWrap/>
        <w:spacing w:line="600" w:lineRule="exact"/>
        <w:ind w:left="0" w:leftChars="0" w:right="0" w:firstLine="645"/>
        <w:textAlignment w:val="auto"/>
        <w:outlineLvl w:val="9"/>
        <w:rPr>
          <w:rFonts w:ascii="仿宋_GB2312" w:eastAsia="仿宋_GB2312"/>
          <w:color w:val="000000"/>
          <w:sz w:val="32"/>
          <w:szCs w:val="32"/>
        </w:rPr>
      </w:pPr>
      <w:r>
        <w:rPr>
          <w:rFonts w:hint="eastAsia" w:ascii="仿宋_GB2312" w:eastAsia="仿宋_GB2312"/>
          <w:color w:val="000000"/>
          <w:sz w:val="32"/>
          <w:szCs w:val="32"/>
        </w:rPr>
        <w:t>（四）自主表达意愿、自愿达成调解协议。</w:t>
      </w:r>
    </w:p>
    <w:p>
      <w:pPr>
        <w:widowControl w:val="0"/>
        <w:wordWrap/>
        <w:spacing w:line="600" w:lineRule="exact"/>
        <w:ind w:left="0" w:leftChars="0" w:right="0" w:firstLine="645"/>
        <w:jc w:val="both"/>
        <w:textAlignment w:val="auto"/>
        <w:outlineLvl w:val="9"/>
        <w:rPr>
          <w:rFonts w:ascii="仿宋_GB2312" w:eastAsia="仿宋_GB2312"/>
          <w:color w:val="000000"/>
          <w:sz w:val="32"/>
          <w:szCs w:val="32"/>
        </w:rPr>
      </w:pPr>
      <w:r>
        <w:rPr>
          <w:rFonts w:hint="eastAsia" w:ascii="黑体" w:hAnsi="黑体" w:eastAsia="黑体"/>
          <w:color w:val="000000"/>
          <w:sz w:val="32"/>
          <w:szCs w:val="32"/>
        </w:rPr>
        <w:t>第</w:t>
      </w:r>
      <w:r>
        <w:rPr>
          <w:rFonts w:hint="eastAsia" w:ascii="黑体" w:hAnsi="黑体" w:eastAsia="黑体"/>
          <w:color w:val="000000"/>
          <w:sz w:val="32"/>
          <w:szCs w:val="32"/>
          <w:lang w:eastAsia="zh-CN"/>
        </w:rPr>
        <w:t>四十</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当事人在人民调解活动中履行下列义务：</w:t>
      </w:r>
    </w:p>
    <w:p>
      <w:pPr>
        <w:widowControl w:val="0"/>
        <w:wordWrap/>
        <w:spacing w:line="600" w:lineRule="exact"/>
        <w:ind w:left="0" w:leftChars="0" w:right="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（一）如实陈述纠纷事实</w:t>
      </w:r>
      <w:r>
        <w:rPr>
          <w:rFonts w:hint="eastAsia" w:ascii="仿宋_GB2312" w:eastAsia="仿宋_GB2312"/>
          <w:color w:val="000000"/>
          <w:sz w:val="32"/>
          <w:szCs w:val="32"/>
          <w:lang w:eastAsia="zh-CN"/>
        </w:rPr>
        <w:t>，提供相应证明材料</w:t>
      </w:r>
      <w:r>
        <w:rPr>
          <w:rFonts w:hint="eastAsia" w:ascii="仿宋_GB2312" w:eastAsia="仿宋_GB2312"/>
          <w:color w:val="000000"/>
          <w:sz w:val="32"/>
          <w:szCs w:val="32"/>
        </w:rPr>
        <w:t>；</w:t>
      </w:r>
    </w:p>
    <w:p>
      <w:pPr>
        <w:widowControl w:val="0"/>
        <w:wordWrap/>
        <w:spacing w:line="600" w:lineRule="exact"/>
        <w:ind w:left="0" w:leftChars="0" w:right="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（二）遵守调解现场秩序，尊重人民调解员；</w:t>
      </w:r>
    </w:p>
    <w:p>
      <w:pPr>
        <w:widowControl w:val="0"/>
        <w:wordWrap/>
        <w:spacing w:line="600" w:lineRule="exact"/>
        <w:ind w:left="0" w:leftChars="0" w:right="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（三）尊重对方当事人行使权利。</w:t>
      </w:r>
    </w:p>
    <w:p>
      <w:pPr>
        <w:widowControl w:val="0"/>
        <w:wordWrap/>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bookmarkStart w:id="46" w:name="_Toc13524"/>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四十一</w:t>
      </w:r>
      <w:r>
        <w:rPr>
          <w:rFonts w:hint="eastAsia" w:ascii="黑体" w:hAnsi="黑体" w:eastAsia="黑体"/>
          <w:color w:val="000000"/>
          <w:sz w:val="32"/>
          <w:szCs w:val="32"/>
        </w:rPr>
        <w:t>条</w:t>
      </w:r>
      <w:bookmarkEnd w:id="46"/>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调解活动中有下列情形之一的，人民调解员应当终止本次调解，并依据有关法律、法规的规定，告知当事人可以依法通过仲裁、行政、司法等途径维护自己的权利：</w:t>
      </w:r>
    </w:p>
    <w:p>
      <w:pPr>
        <w:widowControl w:val="0"/>
        <w:wordWrap/>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（一）查明纠纷不属于人民调解范围的；</w:t>
      </w:r>
    </w:p>
    <w:p>
      <w:pPr>
        <w:widowControl w:val="0"/>
        <w:wordWrap/>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（二）一方当事人拒绝或者退出调解的；</w:t>
      </w:r>
    </w:p>
    <w:p>
      <w:pPr>
        <w:widowControl w:val="0"/>
        <w:wordWrap/>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（三）超过调解期限未能达成调解协议的；</w:t>
      </w:r>
    </w:p>
    <w:p>
      <w:pPr>
        <w:widowControl w:val="0"/>
        <w:wordWrap/>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）发生特定事由使调解不能进行的；</w:t>
      </w:r>
    </w:p>
    <w:p>
      <w:pPr>
        <w:widowControl w:val="0"/>
        <w:wordWrap/>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）双方当事人对协议内容无法达成一致意见的；</w:t>
      </w:r>
    </w:p>
    <w:p>
      <w:pPr>
        <w:widowControl w:val="0"/>
        <w:wordWrap/>
        <w:adjustRightInd w:val="0"/>
        <w:snapToGrid w:val="0"/>
        <w:spacing w:line="60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六</w:t>
      </w:r>
      <w:r>
        <w:rPr>
          <w:rFonts w:hint="eastAsia" w:ascii="仿宋_GB2312" w:eastAsia="仿宋_GB2312"/>
          <w:color w:val="000000"/>
          <w:sz w:val="32"/>
          <w:szCs w:val="32"/>
        </w:rPr>
        <w:t>）法律、法规规定应当终止调解的其他情形。</w:t>
      </w:r>
    </w:p>
    <w:p>
      <w:pPr>
        <w:widowControl w:val="0"/>
        <w:wordWrap/>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bookmarkStart w:id="47" w:name="_Toc19269"/>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四十二</w:t>
      </w:r>
      <w:r>
        <w:rPr>
          <w:rFonts w:hint="eastAsia" w:ascii="黑体" w:hAnsi="黑体" w:eastAsia="黑体"/>
          <w:color w:val="000000"/>
          <w:sz w:val="32"/>
          <w:szCs w:val="32"/>
        </w:rPr>
        <w:t>条</w:t>
      </w:r>
      <w:bookmarkEnd w:id="4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w:t>
      </w:r>
      <w:r>
        <w:rPr>
          <w:rFonts w:hint="eastAsia" w:ascii="仿宋_GB2312" w:eastAsia="仿宋_GB2312"/>
          <w:color w:val="000000"/>
          <w:sz w:val="32"/>
          <w:szCs w:val="32"/>
          <w:lang w:val="en-US" w:eastAsia="zh-CN"/>
        </w:rPr>
        <w:t>委员会调解纠纷应当制作人民调解记录，并由人民调解员和当事人签字、盖章或者按指印。调解简单纠纷的，可以不作全程记录，但应当记录调解事项及结果，并由人民调解员和当事人签</w:t>
      </w:r>
      <w:r>
        <w:rPr>
          <w:rFonts w:hint="eastAsia" w:ascii="仿宋_GB2312" w:eastAsia="仿宋_GB2312"/>
          <w:i w:val="0"/>
          <w:iCs w:val="0"/>
          <w:color w:val="000000"/>
          <w:sz w:val="32"/>
          <w:szCs w:val="32"/>
          <w:lang w:val="en-US" w:eastAsia="zh-CN"/>
        </w:rPr>
        <w:t>字</w:t>
      </w:r>
      <w:r>
        <w:rPr>
          <w:rFonts w:hint="eastAsia" w:ascii="仿宋_GB2312" w:eastAsia="仿宋_GB2312"/>
          <w:color w:val="000000"/>
          <w:sz w:val="32"/>
          <w:szCs w:val="32"/>
          <w:lang w:val="en-US" w:eastAsia="zh-CN"/>
        </w:rPr>
        <w:t>、盖章或者按指印。</w:t>
      </w:r>
    </w:p>
    <w:p>
      <w:pPr>
        <w:widowControl w:val="0"/>
        <w:wordWrap/>
        <w:adjustRightInd w:val="0"/>
        <w:snapToGrid w:val="0"/>
        <w:spacing w:line="600" w:lineRule="exact"/>
        <w:ind w:left="0" w:leftChars="0" w:right="0" w:firstLine="640" w:firstLineChars="200"/>
        <w:jc w:val="both"/>
        <w:textAlignment w:val="auto"/>
        <w:outlineLvl w:val="9"/>
        <w:rPr>
          <w:rFonts w:hint="eastAsia" w:ascii="仿宋_GB2312" w:eastAsia="仿宋_GB2312"/>
          <w:color w:val="000000"/>
          <w:spacing w:val="-6"/>
          <w:sz w:val="32"/>
          <w:szCs w:val="32"/>
          <w:lang w:val="en-US" w:eastAsia="zh-CN"/>
        </w:rPr>
      </w:pPr>
      <w:r>
        <w:rPr>
          <w:rFonts w:hint="eastAsia" w:ascii="仿宋_GB2312" w:eastAsia="仿宋_GB2312"/>
          <w:color w:val="000000"/>
          <w:spacing w:val="-6"/>
          <w:sz w:val="32"/>
          <w:szCs w:val="32"/>
          <w:lang w:val="en-US" w:eastAsia="zh-CN"/>
        </w:rPr>
        <w:t>人民调解委员会开展调解调查的，应当制作人民调解调查记录。</w:t>
      </w:r>
    </w:p>
    <w:p>
      <w:pPr>
        <w:widowControl w:val="0"/>
        <w:wordWrap/>
        <w:adjustRightInd w:val="0"/>
        <w:snapToGrid w:val="0"/>
        <w:spacing w:line="600" w:lineRule="exact"/>
        <w:ind w:left="0" w:leftChars="0" w:right="0" w:firstLine="640" w:firstLineChars="200"/>
        <w:jc w:val="both"/>
        <w:textAlignment w:val="auto"/>
        <w:outlineLvl w:val="9"/>
        <w:rPr>
          <w:color w:val="000000"/>
        </w:rPr>
      </w:pPr>
      <w:r>
        <w:rPr>
          <w:rFonts w:hint="eastAsia" w:ascii="仿宋_GB2312" w:eastAsia="仿宋_GB2312"/>
          <w:color w:val="000000"/>
          <w:sz w:val="32"/>
          <w:szCs w:val="32"/>
          <w:lang w:val="en-US" w:eastAsia="zh-CN"/>
        </w:rPr>
        <w:t>人民调解委员会应当建立调解工作档案，将调解登记</w:t>
      </w:r>
      <w:r>
        <w:rPr>
          <w:rFonts w:hint="eastAsia" w:ascii="仿宋_GB2312" w:eastAsia="仿宋_GB2312"/>
          <w:color w:val="000000"/>
          <w:sz w:val="32"/>
          <w:szCs w:val="32"/>
        </w:rPr>
        <w:t>、调解工作记录、调解协议书等材料立卷归档。</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48" w:name="_Toc15286"/>
      <w:r>
        <w:rPr>
          <w:rFonts w:hint="eastAsia" w:ascii="黑体" w:hAnsi="黑体" w:eastAsia="黑体"/>
          <w:color w:val="000000"/>
          <w:sz w:val="32"/>
          <w:szCs w:val="32"/>
        </w:rPr>
        <w:t>第五章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调解协议</w:t>
      </w:r>
      <w:bookmarkEnd w:id="48"/>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49" w:name="_Toc19011"/>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四十三</w:t>
      </w:r>
      <w:r>
        <w:rPr>
          <w:rFonts w:hint="eastAsia" w:ascii="黑体" w:hAnsi="黑体" w:eastAsia="黑体"/>
          <w:color w:val="000000"/>
          <w:sz w:val="32"/>
          <w:szCs w:val="32"/>
        </w:rPr>
        <w:t>条</w:t>
      </w:r>
      <w:bookmarkEnd w:id="4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经人民</w:t>
      </w:r>
      <w:r>
        <w:rPr>
          <w:rFonts w:hint="eastAsia" w:ascii="仿宋_GB2312" w:eastAsia="仿宋_GB2312"/>
          <w:color w:val="000000"/>
          <w:sz w:val="32"/>
          <w:szCs w:val="32"/>
          <w:lang w:val="en-US" w:eastAsia="zh-CN"/>
        </w:rPr>
        <w:t>调解委员会调解达成协议，有下列情形之一的，应当制作调解协议书：</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（一）当事人要求制作调解协议书的；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（二）有给付内容且不能即时履行完毕的；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（三）调解重大、疑难、复杂纠纷的；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（四）人民调解委员会认为应当制作调解协议书的其他情形。</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pacing w:val="-6"/>
          <w:sz w:val="32"/>
          <w:szCs w:val="32"/>
        </w:rPr>
      </w:pPr>
      <w:r>
        <w:rPr>
          <w:rFonts w:hint="eastAsia" w:ascii="仿宋_GB2312" w:eastAsia="仿宋_GB2312"/>
          <w:color w:val="000000"/>
          <w:spacing w:val="-6"/>
          <w:sz w:val="32"/>
          <w:szCs w:val="32"/>
        </w:rPr>
        <w:t>当事人一致认为无需制作调解协议书的，不受前款规定的限制。</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未制作调解协议书的，可以采取口头协议方式，口头协议自达成之日起生效。人民调解员应当记录协议内容，并填写人民调解口头协议登记表。</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0" w:name="_Toc19819"/>
      <w:r>
        <w:rPr>
          <w:rFonts w:hint="eastAsia" w:ascii="黑体" w:hAnsi="黑体" w:eastAsia="黑体"/>
          <w:color w:val="000000"/>
          <w:sz w:val="32"/>
          <w:szCs w:val="32"/>
        </w:rPr>
        <w:t>第</w:t>
      </w:r>
      <w:r>
        <w:rPr>
          <w:rFonts w:hint="eastAsia" w:ascii="黑体" w:hAnsi="黑体" w:eastAsia="黑体"/>
          <w:color w:val="000000"/>
          <w:sz w:val="32"/>
          <w:szCs w:val="32"/>
          <w:lang w:eastAsia="zh-CN"/>
        </w:rPr>
        <w:t>四十四</w:t>
      </w:r>
      <w:r>
        <w:rPr>
          <w:rFonts w:hint="eastAsia" w:ascii="黑体" w:hAnsi="黑体" w:eastAsia="黑体"/>
          <w:color w:val="000000"/>
          <w:sz w:val="32"/>
          <w:szCs w:val="32"/>
        </w:rPr>
        <w:t>条</w:t>
      </w:r>
      <w:bookmarkEnd w:id="5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调解协议不得有下列内容：</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（一）违反法律、行政法规强制性规定的；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（二）侵害国家利益、社会公共利益或者他人合法权益的；</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（三）违背社会公序良俗的。</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1" w:name="_Toc3132"/>
      <w:r>
        <w:rPr>
          <w:rFonts w:hint="eastAsia" w:ascii="黑体" w:hAnsi="黑体" w:eastAsia="黑体"/>
          <w:color w:val="000000"/>
          <w:sz w:val="32"/>
          <w:szCs w:val="32"/>
        </w:rPr>
        <w:t>第</w:t>
      </w:r>
      <w:r>
        <w:rPr>
          <w:rFonts w:hint="eastAsia" w:ascii="黑体" w:hAnsi="黑体" w:eastAsia="黑体"/>
          <w:color w:val="000000"/>
          <w:sz w:val="32"/>
          <w:szCs w:val="32"/>
          <w:lang w:eastAsia="zh-CN"/>
        </w:rPr>
        <w:t>四十五</w:t>
      </w:r>
      <w:r>
        <w:rPr>
          <w:rFonts w:hint="eastAsia" w:ascii="黑体" w:hAnsi="黑体" w:eastAsia="黑体"/>
          <w:color w:val="000000"/>
          <w:sz w:val="32"/>
          <w:szCs w:val="32"/>
        </w:rPr>
        <w:t>条</w:t>
      </w:r>
      <w:bookmarkEnd w:id="51"/>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经人民调解</w:t>
      </w:r>
      <w:r>
        <w:rPr>
          <w:rFonts w:hint="eastAsia" w:ascii="仿宋_GB2312" w:eastAsia="仿宋_GB2312"/>
          <w:color w:val="000000"/>
          <w:sz w:val="32"/>
          <w:szCs w:val="32"/>
          <w:lang w:val="en-US" w:eastAsia="zh-CN"/>
        </w:rPr>
        <w:t>委员会调解达成的调解协议，当事人应当自觉履行。</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人民调解委员会应当适时对调</w:t>
      </w:r>
      <w:r>
        <w:rPr>
          <w:rFonts w:hint="eastAsia" w:ascii="仿宋_GB2312" w:eastAsia="仿宋_GB2312"/>
          <w:color w:val="000000"/>
          <w:sz w:val="32"/>
          <w:szCs w:val="32"/>
        </w:rPr>
        <w:t>解协议的履行情况进行回访，并就履行情况做出记录。</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2" w:name="_Toc14562"/>
      <w:r>
        <w:rPr>
          <w:rFonts w:hint="eastAsia" w:ascii="黑体" w:hAnsi="黑体" w:eastAsia="黑体"/>
          <w:color w:val="000000"/>
          <w:sz w:val="32"/>
          <w:szCs w:val="32"/>
        </w:rPr>
        <w:t>第</w:t>
      </w:r>
      <w:r>
        <w:rPr>
          <w:rFonts w:hint="eastAsia" w:ascii="黑体" w:hAnsi="黑体" w:eastAsia="黑体"/>
          <w:color w:val="000000"/>
          <w:sz w:val="32"/>
          <w:szCs w:val="32"/>
          <w:lang w:eastAsia="zh-CN"/>
        </w:rPr>
        <w:t>四十六</w:t>
      </w:r>
      <w:r>
        <w:rPr>
          <w:rFonts w:hint="eastAsia" w:ascii="黑体" w:hAnsi="黑体" w:eastAsia="黑体"/>
          <w:color w:val="000000"/>
          <w:sz w:val="32"/>
          <w:szCs w:val="32"/>
        </w:rPr>
        <w:t>条</w:t>
      </w:r>
      <w:bookmarkEnd w:id="5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当事人之间</w:t>
      </w:r>
      <w:r>
        <w:rPr>
          <w:rFonts w:hint="eastAsia" w:ascii="仿宋_GB2312" w:eastAsia="仿宋_GB2312"/>
          <w:color w:val="000000"/>
          <w:sz w:val="32"/>
          <w:szCs w:val="32"/>
          <w:lang w:val="en-US" w:eastAsia="zh-CN"/>
        </w:rPr>
        <w:t>就调解协议的履行或者调解协议的内容发生争议的，人民调解委员会应当按照下列情形分别处理：</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pacing w:val="-8"/>
          <w:sz w:val="32"/>
          <w:szCs w:val="32"/>
        </w:rPr>
      </w:pPr>
      <w:r>
        <w:rPr>
          <w:rFonts w:hint="eastAsia" w:ascii="仿宋_GB2312" w:eastAsia="仿宋_GB2312"/>
          <w:color w:val="000000"/>
          <w:sz w:val="32"/>
          <w:szCs w:val="32"/>
        </w:rPr>
        <w:t>（一）</w:t>
      </w:r>
      <w:r>
        <w:rPr>
          <w:rFonts w:hint="eastAsia" w:ascii="仿宋_GB2312" w:eastAsia="仿宋_GB2312"/>
          <w:color w:val="000000"/>
          <w:spacing w:val="-8"/>
          <w:sz w:val="32"/>
          <w:szCs w:val="32"/>
        </w:rPr>
        <w:t>当事人无正当理由不履行调解协议的，应当督促其履行；</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（二）当事人就调解协议内容发生争议的，在征得双方当事人同意后，可以经再次调解变更原调解协议或者达成新的调解协议；</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（三）经督促或者再次调解仍不能解决争议的，应当告知当事人可以通过其他法定途径处理。</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3" w:name="_Toc29141"/>
      <w:r>
        <w:rPr>
          <w:rFonts w:hint="eastAsia" w:ascii="黑体" w:hAnsi="黑体" w:eastAsia="黑体"/>
          <w:color w:val="000000"/>
          <w:sz w:val="32"/>
          <w:szCs w:val="32"/>
        </w:rPr>
        <w:t>第</w:t>
      </w:r>
      <w:r>
        <w:rPr>
          <w:rFonts w:hint="eastAsia" w:ascii="黑体" w:hAnsi="黑体" w:eastAsia="黑体"/>
          <w:color w:val="000000"/>
          <w:sz w:val="32"/>
          <w:szCs w:val="32"/>
          <w:lang w:eastAsia="zh-CN"/>
        </w:rPr>
        <w:t>四十七</w:t>
      </w:r>
      <w:r>
        <w:rPr>
          <w:rFonts w:hint="eastAsia" w:ascii="黑体" w:hAnsi="黑体" w:eastAsia="黑体"/>
          <w:color w:val="000000"/>
          <w:sz w:val="32"/>
          <w:szCs w:val="32"/>
        </w:rPr>
        <w:t>条</w:t>
      </w:r>
      <w:bookmarkEnd w:id="53"/>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经调解达成调解协</w:t>
      </w:r>
      <w:r>
        <w:rPr>
          <w:rFonts w:hint="eastAsia" w:ascii="仿宋_GB2312" w:eastAsia="仿宋_GB2312"/>
          <w:color w:val="000000"/>
          <w:sz w:val="32"/>
          <w:szCs w:val="32"/>
          <w:lang w:val="en-US" w:eastAsia="zh-CN"/>
        </w:rPr>
        <w:t>议后，人民调解委员会应当告知当事人可以自调解协议生效之日起30日内共同向人民法院申请司法确认。</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人民法院依法作出确认裁定后，一方当事人拒绝履行或者未全部履行的，对方当事人可以向作出确认裁定的人民</w:t>
      </w:r>
      <w:r>
        <w:rPr>
          <w:rFonts w:hint="eastAsia" w:ascii="仿宋_GB2312" w:eastAsia="仿宋_GB2312"/>
          <w:color w:val="000000"/>
          <w:sz w:val="32"/>
          <w:szCs w:val="32"/>
        </w:rPr>
        <w:t>法院申请强制执行。</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人民法院依法确认调解协议无效的，当事人可以通过人民调解方式变更原调解协议或者达成新的调解协议，也可以向人民法院提起诉讼。</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54" w:name="_Toc23481"/>
      <w:bookmarkStart w:id="55" w:name="_Toc27685"/>
      <w:r>
        <w:rPr>
          <w:rFonts w:hint="eastAsia" w:ascii="黑体" w:hAnsi="黑体" w:eastAsia="黑体"/>
          <w:color w:val="000000"/>
          <w:sz w:val="32"/>
          <w:szCs w:val="32"/>
        </w:rPr>
        <w:t>第六章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保障与指导</w:t>
      </w:r>
      <w:bookmarkEnd w:id="54"/>
      <w:bookmarkEnd w:id="55"/>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6" w:name="_Toc11137"/>
      <w:r>
        <w:rPr>
          <w:rFonts w:hint="eastAsia" w:ascii="黑体" w:hAnsi="黑体" w:eastAsia="黑体"/>
          <w:color w:val="000000"/>
          <w:sz w:val="32"/>
          <w:szCs w:val="32"/>
        </w:rPr>
        <w:t>第</w:t>
      </w:r>
      <w:r>
        <w:rPr>
          <w:rFonts w:hint="eastAsia" w:ascii="黑体" w:hAnsi="黑体" w:eastAsia="黑体"/>
          <w:color w:val="000000"/>
          <w:sz w:val="32"/>
          <w:szCs w:val="32"/>
          <w:lang w:eastAsia="zh-CN"/>
        </w:rPr>
        <w:t>四十八</w:t>
      </w:r>
      <w:r>
        <w:rPr>
          <w:rFonts w:hint="eastAsia" w:ascii="黑体" w:hAnsi="黑体" w:eastAsia="黑体"/>
          <w:color w:val="000000"/>
          <w:sz w:val="32"/>
          <w:szCs w:val="32"/>
        </w:rPr>
        <w:t>条</w:t>
      </w:r>
      <w:bookmarkEnd w:id="5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lang w:eastAsia="zh-CN"/>
        </w:rPr>
        <w:t>县级以上</w:t>
      </w:r>
      <w:r>
        <w:rPr>
          <w:rFonts w:hint="eastAsia" w:ascii="仿宋_GB2312" w:eastAsia="仿宋_GB2312"/>
          <w:color w:val="000000"/>
          <w:sz w:val="32"/>
          <w:szCs w:val="32"/>
        </w:rPr>
        <w:t>人民政府应当将人民调解工作经费列入</w:t>
      </w:r>
      <w:r>
        <w:rPr>
          <w:rFonts w:hint="eastAsia" w:ascii="仿宋_GB2312" w:eastAsia="仿宋_GB2312"/>
          <w:color w:val="000000"/>
          <w:sz w:val="32"/>
          <w:szCs w:val="32"/>
          <w:lang w:val="en-US" w:eastAsia="zh-CN"/>
        </w:rPr>
        <w:t>同级</w:t>
      </w:r>
      <w:r>
        <w:rPr>
          <w:rFonts w:hint="eastAsia" w:ascii="仿宋_GB2312" w:eastAsia="仿宋_GB2312"/>
          <w:color w:val="000000"/>
          <w:sz w:val="32"/>
          <w:szCs w:val="32"/>
        </w:rPr>
        <w:t>财政预算，根据当地经济社会发展水平和财力状况，安排司法行政部门指导</w:t>
      </w:r>
      <w:r>
        <w:rPr>
          <w:rFonts w:hint="eastAsia" w:ascii="仿宋_GB2312" w:eastAsia="仿宋_GB2312"/>
          <w:color w:val="000000"/>
          <w:sz w:val="32"/>
          <w:szCs w:val="32"/>
          <w:lang w:val="en-US" w:eastAsia="zh-CN"/>
        </w:rPr>
        <w:t>人民调解工作经费、人民调解委员会工作补助经费、人民调解员补贴经费、专职人民调解员聘用经费</w:t>
      </w:r>
      <w:r>
        <w:rPr>
          <w:rFonts w:hint="eastAsia" w:ascii="仿宋_GB2312" w:eastAsia="仿宋_GB2312"/>
          <w:color w:val="000000"/>
          <w:sz w:val="32"/>
          <w:szCs w:val="32"/>
        </w:rPr>
        <w:t>等。</w:t>
      </w:r>
    </w:p>
    <w:p>
      <w:pPr>
        <w:widowControl w:val="0"/>
        <w:wordWrap/>
        <w:adjustRightInd w:val="0"/>
        <w:snapToGrid w:val="0"/>
        <w:spacing w:line="600" w:lineRule="exact"/>
        <w:ind w:left="0" w:leftChars="0" w:right="0" w:firstLine="640" w:firstLineChars="200"/>
        <w:textAlignment w:val="auto"/>
        <w:outlineLvl w:val="9"/>
        <w:rPr>
          <w:rFonts w:ascii="黑体" w:hAnsi="黑体" w:eastAsia="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四十九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eastAsia="zh-CN"/>
        </w:rPr>
        <w:t xml:space="preserve">  </w:t>
      </w:r>
      <w:r>
        <w:rPr>
          <w:rFonts w:hint="eastAsia" w:ascii="仿宋_GB2312" w:hAnsi="黑体" w:eastAsia="仿宋_GB2312"/>
          <w:color w:val="000000"/>
          <w:sz w:val="32"/>
          <w:szCs w:val="32"/>
        </w:rPr>
        <w:t>县级以上人民政府应当将人民调解服务事项纳入政府购买服务指导性目录。</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县级以上人民政府司法行政部门应当会同同级财政等有关部门做好政府购买人民调解服务工作，完善购买方式和程序。</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鼓励符合条件的社会团体及其他组织积极参与承接政府购买人民调解服务。</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7" w:name="_Toc28865"/>
      <w:r>
        <w:rPr>
          <w:rFonts w:hint="eastAsia" w:ascii="黑体" w:hAnsi="黑体" w:eastAsia="黑体"/>
          <w:color w:val="000000"/>
          <w:sz w:val="32"/>
          <w:szCs w:val="32"/>
        </w:rPr>
        <w:t>第</w:t>
      </w:r>
      <w:r>
        <w:rPr>
          <w:rFonts w:hint="eastAsia" w:ascii="黑体" w:hAnsi="黑体" w:eastAsia="黑体"/>
          <w:color w:val="000000"/>
          <w:sz w:val="32"/>
          <w:szCs w:val="32"/>
          <w:lang w:eastAsia="zh-CN"/>
        </w:rPr>
        <w:t>五十</w:t>
      </w:r>
      <w:r>
        <w:rPr>
          <w:rFonts w:hint="eastAsia" w:ascii="黑体" w:hAnsi="黑体" w:eastAsia="黑体"/>
          <w:color w:val="000000"/>
          <w:sz w:val="32"/>
          <w:szCs w:val="32"/>
        </w:rPr>
        <w:t>条</w:t>
      </w:r>
      <w:bookmarkEnd w:id="57"/>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人民调解委员会的设立单位或者设立组织应当为人民调解委员会提供办公条件和必要的工作经费。</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接受人民调解委员会派驻人民调解工作室的单位，应当为人民调解工作室提供必要的办公条件和保障。</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58" w:name="_Toc11368"/>
      <w:r>
        <w:rPr>
          <w:rFonts w:hint="eastAsia" w:ascii="黑体" w:hAnsi="黑体" w:eastAsia="黑体"/>
          <w:color w:val="000000"/>
          <w:sz w:val="32"/>
          <w:szCs w:val="32"/>
        </w:rPr>
        <w:t>第</w:t>
      </w:r>
      <w:r>
        <w:rPr>
          <w:rFonts w:hint="eastAsia" w:ascii="黑体" w:hAnsi="黑体" w:eastAsia="黑体"/>
          <w:color w:val="000000"/>
          <w:sz w:val="32"/>
          <w:szCs w:val="32"/>
          <w:lang w:eastAsia="zh-CN"/>
        </w:rPr>
        <w:t>五十一</w:t>
      </w:r>
      <w:r>
        <w:rPr>
          <w:rFonts w:hint="eastAsia" w:ascii="黑体" w:hAnsi="黑体" w:eastAsia="黑体"/>
          <w:color w:val="000000"/>
          <w:sz w:val="32"/>
          <w:szCs w:val="32"/>
        </w:rPr>
        <w:t>条</w:t>
      </w:r>
      <w:bookmarkEnd w:id="58"/>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县级以上人民政府司法行政部门是本行政区域内人民调解工作的指导部门，履行下列职责：</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（一）贯彻执行人民调解工作的法律、法规和政策；</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（二）制定并指导实施人民调解工作的规划、规范和标准等；</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（三）指导人民</w:t>
      </w:r>
      <w:r>
        <w:rPr>
          <w:rFonts w:hint="eastAsia" w:ascii="仿宋_GB2312" w:eastAsia="仿宋_GB2312"/>
          <w:color w:val="000000"/>
          <w:sz w:val="32"/>
          <w:szCs w:val="32"/>
          <w:lang w:val="en-US" w:eastAsia="zh-CN"/>
        </w:rPr>
        <w:t>调解委员会设立、重组、换届及开展工作；</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（四）组织人民调解员的任职培</w:t>
      </w:r>
      <w:r>
        <w:rPr>
          <w:rFonts w:hint="eastAsia" w:ascii="仿宋_GB2312" w:eastAsia="仿宋_GB2312"/>
          <w:color w:val="000000"/>
          <w:sz w:val="32"/>
          <w:szCs w:val="32"/>
        </w:rPr>
        <w:t>训和业务培训；</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（五）研究处理对人民调解工作的意见、建议、咨询和投诉；</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（六）其他人民调解工作指导职责。</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59" w:name="_Toc7086"/>
      <w:r>
        <w:rPr>
          <w:rFonts w:hint="eastAsia" w:ascii="黑体" w:hAnsi="黑体" w:eastAsia="黑体"/>
          <w:color w:val="000000"/>
          <w:sz w:val="32"/>
          <w:szCs w:val="32"/>
        </w:rPr>
        <w:t>第</w:t>
      </w:r>
      <w:r>
        <w:rPr>
          <w:rFonts w:hint="eastAsia" w:ascii="黑体" w:hAnsi="黑体" w:eastAsia="黑体"/>
          <w:color w:val="000000"/>
          <w:sz w:val="32"/>
          <w:szCs w:val="32"/>
          <w:lang w:eastAsia="zh-CN"/>
        </w:rPr>
        <w:t>五十二</w:t>
      </w:r>
      <w:r>
        <w:rPr>
          <w:rFonts w:hint="eastAsia" w:ascii="黑体" w:hAnsi="黑体" w:eastAsia="黑体"/>
          <w:color w:val="000000"/>
          <w:sz w:val="32"/>
          <w:szCs w:val="32"/>
        </w:rPr>
        <w:t>条</w:t>
      </w:r>
      <w:bookmarkEnd w:id="59"/>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基层人民法院可以通过以下方式指导人民</w:t>
      </w:r>
      <w:r>
        <w:rPr>
          <w:rFonts w:hint="eastAsia" w:ascii="仿宋_GB2312" w:eastAsia="仿宋_GB2312"/>
          <w:color w:val="000000"/>
          <w:sz w:val="32"/>
          <w:szCs w:val="32"/>
          <w:lang w:val="en-US" w:eastAsia="zh-CN"/>
        </w:rPr>
        <w:t>调解委员会的调解业务：</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（一）通过司法确认等审判活动对人民调解工作进行指导，提出意见和建议；</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（二）协助司法行政部门做好人民调解员培训工作；</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（三）组织人民调解员旁听审判活动和参与庭审前的辅助性工作；</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（四）其他对人民调解工作的业务指导方式。</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bookmarkStart w:id="60" w:name="_Toc25443"/>
      <w:r>
        <w:rPr>
          <w:rFonts w:hint="eastAsia" w:ascii="黑体" w:hAnsi="黑体" w:eastAsia="黑体"/>
          <w:color w:val="000000"/>
          <w:sz w:val="32"/>
          <w:szCs w:val="32"/>
        </w:rPr>
        <w:t>第</w:t>
      </w:r>
      <w:r>
        <w:rPr>
          <w:rFonts w:hint="eastAsia" w:ascii="黑体" w:hAnsi="黑体" w:eastAsia="黑体"/>
          <w:color w:val="000000"/>
          <w:sz w:val="32"/>
          <w:szCs w:val="32"/>
          <w:lang w:eastAsia="zh-CN"/>
        </w:rPr>
        <w:t>五十三</w:t>
      </w:r>
      <w:r>
        <w:rPr>
          <w:rFonts w:hint="eastAsia" w:ascii="黑体" w:hAnsi="黑体" w:eastAsia="黑体"/>
          <w:color w:val="000000"/>
          <w:sz w:val="32"/>
          <w:szCs w:val="32"/>
        </w:rPr>
        <w:t>条</w:t>
      </w:r>
      <w:bookmarkEnd w:id="60"/>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公民、法人或者其他组织对人民</w:t>
      </w:r>
      <w:r>
        <w:rPr>
          <w:rFonts w:hint="eastAsia" w:ascii="仿宋_GB2312" w:eastAsia="仿宋_GB2312"/>
          <w:color w:val="000000"/>
          <w:sz w:val="32"/>
          <w:szCs w:val="32"/>
          <w:lang w:val="en-US" w:eastAsia="zh-CN"/>
        </w:rPr>
        <w:t>调解委员会或者人民调解员开展调解工作的意见、建议、咨询和投诉，可以向该人民调解委员会、人民调解委员会的设立单位或者设立组织提出，也可以向该人民调解委员会所在地司法行政部门提出。受理单位应当及时核查处理，并及时向提出意见、建议、咨询和投诉的公民、法人或者其他组织告知处理情况。</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县级以上人民政府司法行政部门应当将人民调解委员会、人民调解员违反人民调解工作规定的情况向社会公开。</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61" w:name="_Toc17384"/>
      <w:bookmarkStart w:id="62" w:name="_Toc735"/>
      <w:r>
        <w:rPr>
          <w:rFonts w:hint="eastAsia" w:ascii="黑体" w:hAnsi="黑体" w:eastAsia="黑体"/>
          <w:color w:val="000000"/>
          <w:sz w:val="32"/>
          <w:szCs w:val="32"/>
        </w:rPr>
        <w:t>第五十</w:t>
      </w:r>
      <w:r>
        <w:rPr>
          <w:rFonts w:hint="eastAsia" w:ascii="黑体" w:hAnsi="黑体" w:eastAsia="黑体"/>
          <w:color w:val="000000"/>
          <w:sz w:val="32"/>
          <w:szCs w:val="32"/>
          <w:lang w:eastAsia="zh-CN"/>
        </w:rPr>
        <w:t>四</w:t>
      </w:r>
      <w:r>
        <w:rPr>
          <w:rFonts w:hint="eastAsia" w:ascii="黑体" w:hAnsi="黑体" w:eastAsia="黑体"/>
          <w:color w:val="000000"/>
          <w:sz w:val="32"/>
          <w:szCs w:val="32"/>
        </w:rPr>
        <w:t>条</w:t>
      </w:r>
      <w:bookmarkEnd w:id="61"/>
      <w:bookmarkEnd w:id="62"/>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司法行政部门和人民</w:t>
      </w:r>
      <w:r>
        <w:rPr>
          <w:rFonts w:hint="eastAsia" w:ascii="仿宋_GB2312" w:eastAsia="仿宋_GB2312"/>
          <w:color w:val="000000"/>
          <w:sz w:val="32"/>
          <w:szCs w:val="32"/>
          <w:lang w:val="en-US" w:eastAsia="zh-CN"/>
        </w:rPr>
        <w:t>调解委员会应当加强人民调解工作信息化、智能化建设和应用，提高服务</w:t>
      </w:r>
      <w:r>
        <w:rPr>
          <w:rFonts w:hint="eastAsia" w:ascii="仿宋_GB2312" w:eastAsia="仿宋_GB2312"/>
          <w:color w:val="000000"/>
          <w:sz w:val="32"/>
          <w:szCs w:val="32"/>
        </w:rPr>
        <w:t>质量和效率。</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r>
        <w:rPr>
          <w:rFonts w:hint="eastAsia" w:ascii="黑体" w:hAnsi="黑体" w:eastAsia="黑体"/>
          <w:color w:val="000000"/>
          <w:sz w:val="32"/>
          <w:szCs w:val="32"/>
        </w:rPr>
        <w:t>第七章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法律责任</w:t>
      </w:r>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五</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w:t>
      </w:r>
      <w:r>
        <w:rPr>
          <w:rFonts w:hint="eastAsia" w:ascii="仿宋_GB2312" w:eastAsia="仿宋_GB2312"/>
          <w:color w:val="000000"/>
          <w:sz w:val="32"/>
          <w:szCs w:val="32"/>
          <w:lang w:val="en-US" w:eastAsia="zh-CN"/>
        </w:rPr>
        <w:t>调解委员会违反人民调解工作规定，情节轻微的，由设立单位或者设立组织给予通报批评、责令改</w:t>
      </w:r>
      <w:r>
        <w:rPr>
          <w:rFonts w:hint="eastAsia" w:ascii="仿宋_GB2312" w:eastAsia="仿宋_GB2312"/>
          <w:color w:val="000000"/>
          <w:sz w:val="32"/>
          <w:szCs w:val="32"/>
        </w:rPr>
        <w:t>正；情节严重的，由设立单位或者设立组织重组或者予以撤销。司法行政部门可以向设立单位或者设立组织提出处理建议。</w:t>
      </w:r>
    </w:p>
    <w:p>
      <w:pPr>
        <w:widowControl w:val="0"/>
        <w:wordWrap/>
        <w:adjustRightInd w:val="0"/>
        <w:snapToGrid w:val="0"/>
        <w:spacing w:line="600" w:lineRule="exact"/>
        <w:ind w:left="0" w:leftChars="0" w:right="0" w:firstLine="640" w:firstLineChars="200"/>
        <w:textAlignment w:val="auto"/>
        <w:outlineLvl w:val="9"/>
        <w:rPr>
          <w:rFonts w:hint="eastAsia" w:ascii="仿宋_GB2312" w:eastAsia="仿宋_GB2312"/>
          <w:color w:val="000000"/>
          <w:sz w:val="32"/>
          <w:szCs w:val="32"/>
          <w:lang w:val="en-US" w:eastAsia="zh-CN"/>
        </w:rPr>
      </w:pPr>
      <w:r>
        <w:rPr>
          <w:rFonts w:hint="eastAsia" w:ascii="黑体" w:hAnsi="黑体" w:eastAsia="黑体"/>
          <w:color w:val="000000"/>
          <w:sz w:val="32"/>
          <w:szCs w:val="32"/>
        </w:rPr>
        <w:t>第五十</w:t>
      </w:r>
      <w:r>
        <w:rPr>
          <w:rFonts w:hint="eastAsia" w:ascii="黑体" w:hAnsi="黑体" w:eastAsia="黑体"/>
          <w:color w:val="000000"/>
          <w:sz w:val="32"/>
          <w:szCs w:val="32"/>
          <w:lang w:eastAsia="zh-CN"/>
        </w:rPr>
        <w:t>六</w:t>
      </w:r>
      <w:r>
        <w:rPr>
          <w:rFonts w:hint="eastAsia" w:ascii="黑体" w:hAnsi="黑体" w:eastAsia="黑体"/>
          <w:color w:val="000000"/>
          <w:sz w:val="32"/>
          <w:szCs w:val="32"/>
        </w:rPr>
        <w:t>条</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人民调解员违反</w:t>
      </w:r>
      <w:r>
        <w:rPr>
          <w:rFonts w:hint="eastAsia" w:ascii="仿宋_GB2312" w:hAnsi="黑体" w:eastAsia="仿宋_GB2312" w:cs="黑体"/>
          <w:color w:val="000000"/>
          <w:sz w:val="32"/>
          <w:szCs w:val="32"/>
        </w:rPr>
        <w:t>人民调解工作规定，</w:t>
      </w:r>
      <w:r>
        <w:rPr>
          <w:rFonts w:hint="eastAsia" w:ascii="仿宋_GB2312" w:hAnsi="黑体" w:eastAsia="仿宋_GB2312" w:cs="黑体"/>
          <w:color w:val="000000"/>
          <w:sz w:val="32"/>
          <w:szCs w:val="32"/>
          <w:lang w:val="en-US" w:eastAsia="zh-CN"/>
        </w:rPr>
        <w:t>情节轻微的，</w:t>
      </w:r>
      <w:r>
        <w:rPr>
          <w:rFonts w:hint="eastAsia" w:ascii="仿宋_GB2312" w:hAnsi="黑体" w:eastAsia="仿宋_GB2312" w:cs="黑体"/>
          <w:color w:val="000000"/>
          <w:sz w:val="32"/>
          <w:szCs w:val="32"/>
        </w:rPr>
        <w:t>由所在的人民调解</w:t>
      </w:r>
      <w:r>
        <w:rPr>
          <w:rFonts w:hint="eastAsia" w:ascii="仿宋_GB2312" w:hAnsi="黑体" w:eastAsia="仿宋_GB2312" w:cs="黑体"/>
          <w:color w:val="000000"/>
          <w:sz w:val="32"/>
          <w:szCs w:val="32"/>
          <w:lang w:val="en-US" w:eastAsia="zh-CN"/>
        </w:rPr>
        <w:t>委员会给予批评教育、</w:t>
      </w:r>
      <w:r>
        <w:rPr>
          <w:rFonts w:hint="eastAsia" w:ascii="仿宋_GB2312" w:eastAsia="仿宋_GB2312"/>
          <w:color w:val="000000"/>
          <w:sz w:val="32"/>
          <w:szCs w:val="32"/>
          <w:lang w:val="en-US" w:eastAsia="zh-CN"/>
        </w:rPr>
        <w:t>责令改正；情节严重的，由推选或者聘任单位予以罢免或者解聘。司法行政部门可以向设立单位或者设立组织提出处理建议。</w:t>
      </w:r>
    </w:p>
    <w:p>
      <w:pPr>
        <w:pStyle w:val="2"/>
        <w:widowControl w:val="0"/>
        <w:wordWrap/>
        <w:spacing w:line="600" w:lineRule="exact"/>
        <w:ind w:left="0" w:leftChars="0"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第五十七条  </w:t>
      </w:r>
      <w:r>
        <w:rPr>
          <w:rFonts w:hint="eastAsia" w:ascii="仿宋_GB2312" w:hAnsi="仿宋_GB2312" w:eastAsia="仿宋_GB2312" w:cs="仿宋_GB2312"/>
          <w:color w:val="000000"/>
          <w:sz w:val="32"/>
          <w:szCs w:val="32"/>
          <w:lang w:val="en-US" w:eastAsia="zh-CN"/>
        </w:rPr>
        <w:t>国家机关及其工作人员不履行人民调解工作指导职责，或者在指导人民调解工作中存在违法行为，情节轻微的，由上级主管部门或者监察机关责令改正；情节严重的，对直接负责的主管人员和其他责任人员依法给予处分。</w:t>
      </w:r>
    </w:p>
    <w:p>
      <w:pPr>
        <w:widowControl w:val="0"/>
        <w:wordWrap/>
        <w:adjustRightInd w:val="0"/>
        <w:snapToGrid w:val="0"/>
        <w:spacing w:before="313" w:beforeLines="100" w:after="313" w:afterLines="100" w:line="600" w:lineRule="exact"/>
        <w:ind w:right="0"/>
        <w:jc w:val="center"/>
        <w:textAlignment w:val="auto"/>
        <w:outlineLvl w:val="9"/>
        <w:rPr>
          <w:rFonts w:ascii="黑体" w:hAnsi="黑体" w:eastAsia="黑体"/>
          <w:color w:val="000000"/>
          <w:sz w:val="32"/>
          <w:szCs w:val="32"/>
        </w:rPr>
      </w:pPr>
      <w:bookmarkStart w:id="63" w:name="_Toc25254"/>
      <w:bookmarkStart w:id="64" w:name="_Toc9487"/>
      <w:bookmarkStart w:id="67" w:name="_GoBack"/>
      <w:bookmarkEnd w:id="67"/>
      <w:r>
        <w:rPr>
          <w:rFonts w:hint="eastAsia" w:ascii="黑体" w:hAnsi="黑体" w:eastAsia="黑体"/>
          <w:color w:val="000000"/>
          <w:sz w:val="32"/>
          <w:szCs w:val="32"/>
        </w:rPr>
        <w:t>第八章</w:t>
      </w:r>
      <w:r>
        <w:rPr>
          <w:rFonts w:hint="eastAsia" w:ascii="黑体" w:hAnsi="黑体" w:eastAsia="黑体"/>
          <w:color w:val="000000"/>
          <w:sz w:val="32"/>
          <w:szCs w:val="32"/>
          <w:lang w:eastAsia="zh-CN"/>
        </w:rPr>
        <w:t xml:space="preserve">  </w:t>
      </w:r>
      <w:r>
        <w:rPr>
          <w:rFonts w:hint="eastAsia" w:ascii="黑体" w:hAnsi="黑体" w:eastAsia="黑体"/>
          <w:color w:val="000000"/>
          <w:sz w:val="32"/>
          <w:szCs w:val="32"/>
        </w:rPr>
        <w:t>附</w:t>
      </w:r>
      <w:r>
        <w:rPr>
          <w:rFonts w:hint="eastAsia" w:ascii="黑体" w:hAnsi="黑体" w:eastAsia="黑体"/>
          <w:color w:val="000000"/>
          <w:sz w:val="32"/>
          <w:szCs w:val="32"/>
          <w:lang w:val="en-US" w:eastAsia="zh-CN"/>
        </w:rPr>
        <w:t xml:space="preserve">  </w:t>
      </w:r>
      <w:r>
        <w:rPr>
          <w:rFonts w:hint="eastAsia" w:ascii="黑体" w:hAnsi="黑体" w:eastAsia="黑体"/>
          <w:color w:val="000000"/>
          <w:sz w:val="32"/>
          <w:szCs w:val="32"/>
        </w:rPr>
        <w:t>则</w:t>
      </w:r>
      <w:bookmarkEnd w:id="63"/>
      <w:bookmarkEnd w:id="64"/>
    </w:p>
    <w:p>
      <w:pPr>
        <w:widowControl w:val="0"/>
        <w:wordWrap/>
        <w:adjustRightInd w:val="0"/>
        <w:snapToGrid w:val="0"/>
        <w:spacing w:line="600" w:lineRule="exact"/>
        <w:ind w:left="0" w:leftChars="0" w:right="0" w:firstLine="640" w:firstLineChars="200"/>
        <w:textAlignment w:val="auto"/>
        <w:outlineLvl w:val="9"/>
        <w:rPr>
          <w:rFonts w:ascii="仿宋_GB2312" w:eastAsia="仿宋_GB2312"/>
          <w:color w:val="000000"/>
          <w:sz w:val="32"/>
          <w:szCs w:val="32"/>
        </w:rPr>
      </w:pPr>
      <w:bookmarkStart w:id="65" w:name="_Toc8122"/>
      <w:bookmarkStart w:id="66" w:name="_Toc13492"/>
      <w:r>
        <w:rPr>
          <w:rFonts w:hint="eastAsia" w:ascii="黑体" w:hAnsi="黑体" w:eastAsia="黑体"/>
          <w:color w:val="000000"/>
          <w:sz w:val="32"/>
          <w:szCs w:val="32"/>
        </w:rPr>
        <w:t>第五十</w:t>
      </w:r>
      <w:r>
        <w:rPr>
          <w:rFonts w:hint="eastAsia" w:ascii="黑体" w:hAnsi="黑体" w:eastAsia="黑体"/>
          <w:color w:val="000000"/>
          <w:sz w:val="32"/>
          <w:szCs w:val="32"/>
          <w:lang w:eastAsia="zh-CN"/>
        </w:rPr>
        <w:t>八</w:t>
      </w:r>
      <w:r>
        <w:rPr>
          <w:rFonts w:hint="eastAsia" w:ascii="黑体" w:hAnsi="黑体" w:eastAsia="黑体"/>
          <w:color w:val="000000"/>
          <w:sz w:val="32"/>
          <w:szCs w:val="32"/>
        </w:rPr>
        <w:t>条</w:t>
      </w:r>
      <w:bookmarkEnd w:id="65"/>
      <w:bookmarkEnd w:id="66"/>
      <w:r>
        <w:rPr>
          <w:rFonts w:hint="eastAsia" w:ascii="黑体" w:hAnsi="黑体" w:eastAsia="黑体"/>
          <w:color w:val="000000"/>
          <w:sz w:val="32"/>
          <w:szCs w:val="32"/>
          <w:lang w:eastAsia="zh-CN"/>
        </w:rPr>
        <w:t xml:space="preserve">  </w:t>
      </w:r>
      <w:r>
        <w:rPr>
          <w:rFonts w:hint="eastAsia" w:ascii="仿宋_GB2312" w:eastAsia="仿宋_GB2312"/>
          <w:color w:val="000000"/>
          <w:sz w:val="32"/>
          <w:szCs w:val="32"/>
        </w:rPr>
        <w:t>本条例自</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年</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月</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rPr>
        <w:t>日起施行。</w:t>
      </w:r>
    </w:p>
    <w:p>
      <w:pPr>
        <w:widowControl w:val="0"/>
        <w:wordWrap/>
        <w:spacing w:line="600" w:lineRule="exact"/>
        <w:textAlignment w:val="auto"/>
        <w:rPr>
          <w:color w:val="000000"/>
        </w:rPr>
      </w:pPr>
    </w:p>
    <w:p>
      <w:pPr>
        <w:widowControl w:val="0"/>
        <w:wordWrap/>
        <w:spacing w:line="600" w:lineRule="exact"/>
        <w:textAlignment w:val="auto"/>
        <w:rPr>
          <w:color w:val="000000"/>
        </w:rPr>
      </w:pPr>
    </w:p>
    <w:p>
      <w:pPr>
        <w:widowControl w:val="0"/>
        <w:wordWrap/>
        <w:spacing w:line="600" w:lineRule="exact"/>
        <w:textAlignment w:val="auto"/>
        <w:rPr>
          <w:color w:val="000000"/>
        </w:rPr>
      </w:pPr>
    </w:p>
    <w:p>
      <w:pPr>
        <w:widowControl w:val="0"/>
        <w:wordWrap/>
        <w:spacing w:line="600" w:lineRule="exact"/>
        <w:textAlignment w:val="auto"/>
        <w:rPr>
          <w:color w:val="000000"/>
        </w:rPr>
      </w:pPr>
    </w:p>
    <w:p/>
    <w:sectPr>
      <w:footerReference r:id="rId4" w:type="default"/>
      <w:footerReference r:id="rId5" w:type="even"/>
      <w:pgSz w:w="11906" w:h="16838"/>
      <w:pgMar w:top="1814" w:right="1531" w:bottom="1304" w:left="1531" w:header="851" w:footer="130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r>
      <w:rPr>
        <w:rFonts w:ascii="Times New Roman" w:hAnsi="Times New Roman" w:eastAsia="宋体" w:cs="Times New Roman"/>
        <w:kern w:val="2"/>
        <w:sz w:val="18"/>
        <w:szCs w:val="18"/>
        <w:lang w:val="en-US" w:eastAsia="zh-CN" w:bidi="ar-SA"/>
      </w:rPr>
      <w:pict>
        <v:rect id="矩形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Style w:val="8"/>
                    <w:sz w:val="28"/>
                    <w:szCs w:val="28"/>
                  </w:rPr>
                </w:pPr>
                <w:r>
                  <w:rPr>
                    <w:rStyle w:val="8"/>
                    <w:rFonts w:hint="eastAsia" w:ascii="宋体" w:hAnsi="宋体" w:cs="宋体"/>
                    <w:sz w:val="28"/>
                    <w:szCs w:val="28"/>
                    <w:lang w:eastAsia="zh-CN"/>
                  </w:rPr>
                  <w:t>—</w:t>
                </w: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Style w:val="8"/>
                    <w:rFonts w:hint="eastAsia" w:ascii="宋体" w:hAnsi="宋体" w:eastAsia="宋体" w:cs="宋体"/>
                    <w:sz w:val="28"/>
                    <w:szCs w:val="28"/>
                  </w:rPr>
                  <w:fldChar w:fldCharType="end"/>
                </w:r>
                <w:r>
                  <w:rPr>
                    <w:rStyle w:val="8"/>
                    <w:rFonts w:hint="eastAsia" w:ascii="宋体" w:hAnsi="宋体" w:cs="宋体"/>
                    <w:sz w:val="28"/>
                    <w:szCs w:val="28"/>
                    <w:lang w:eastAsia="zh-CN"/>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1D91A74"/>
    <w:rsid w:val="03C54C9D"/>
    <w:rsid w:val="0CE0010A"/>
    <w:rsid w:val="0CFA65F4"/>
    <w:rsid w:val="11D91A74"/>
    <w:rsid w:val="36DA15E8"/>
    <w:rsid w:val="3E69138A"/>
    <w:rsid w:val="505C5D66"/>
    <w:rsid w:val="527249FB"/>
    <w:rsid w:val="554D4AC8"/>
    <w:rsid w:val="68083C69"/>
    <w:rsid w:val="724B0C3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_GB2312"/>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customStyle="1" w:styleId="2">
    <w:name w:val="Body Text First Indent 21"/>
    <w:basedOn w:val="3"/>
    <w:qFormat/>
    <w:uiPriority w:val="0"/>
    <w:pPr>
      <w:ind w:left="0" w:firstLine="420"/>
    </w:pPr>
    <w:rPr>
      <w:rFonts w:ascii="仿宋_GB2312" w:eastAsia="仿宋_GB2312" w:cs="仿宋_GB2312"/>
      <w:sz w:val="32"/>
      <w:szCs w:val="32"/>
    </w:rPr>
  </w:style>
  <w:style w:type="paragraph" w:customStyle="1" w:styleId="3">
    <w:name w:val="Body Text Indent1"/>
    <w:basedOn w:val="1"/>
    <w:qFormat/>
    <w:uiPriority w:val="0"/>
    <w:pPr>
      <w:ind w:left="420" w:leftChars="200"/>
    </w:p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2020-05-25T03:46:00Z</dcterms:created>
  <dc:creator>迈克尔福</dc:creator>
  <cp:lastModifiedBy>Administrator</cp:lastModifiedBy>
  <cp:lastPrinted>2020-05-28T01:14:49Z</cp:lastPrinted>
  <dcterms:modified xsi:type="dcterms:W3CDTF">2020-05-28T01:15:01Z</dcterms:modified>
  <dc:title>省十三届人大常委会第十七次会议文件（十）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