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方正小标宋_GBK" w:eastAsia="方正小标宋_GBK" w:cs="方正小标宋_GBK"/>
          <w:sz w:val="44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eastAsia="方正小标宋_GBK" w:cs="方正小标宋_GBK"/>
          <w:sz w:val="44"/>
          <w:lang w:eastAsia="zh-CN"/>
        </w:rPr>
      </w:pPr>
      <w:r>
        <w:rPr>
          <w:rFonts w:ascii="方正小标宋_GBK" w:eastAsia="方正小标宋_GBK" w:cs="方正小标宋_GBK"/>
          <w:sz w:val="44"/>
          <w:lang w:eastAsia="zh-CN"/>
        </w:rPr>
        <w:t>关于征求《</w:t>
      </w:r>
      <w:r>
        <w:rPr>
          <w:rFonts w:hint="eastAsia" w:ascii="方正小标宋_GBK" w:eastAsia="方正小标宋_GBK" w:cs="方正小标宋_GBK"/>
          <w:sz w:val="44"/>
          <w:lang w:eastAsia="zh-CN"/>
        </w:rPr>
        <w:t>务川仡佬族苗族自治县城镇管理条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eastAsia="方正小标宋_GBK" w:cs="方正小标宋_GBK"/>
          <w:sz w:val="44"/>
          <w:lang w:eastAsia="zh-CN"/>
        </w:rPr>
        <w:t>例</w:t>
      </w:r>
      <w:r>
        <w:rPr>
          <w:rFonts w:ascii="方正小标宋_GBK" w:eastAsia="方正小标宋_GBK" w:cs="方正小标宋_GBK"/>
          <w:sz w:val="44"/>
          <w:lang w:eastAsia="zh-CN"/>
        </w:rPr>
        <w:t>》《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玉屏侗族自治县促进油茶产业发展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 w:firstLineChars="10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条例</w:t>
      </w:r>
      <w:r>
        <w:rPr>
          <w:rFonts w:ascii="方正小标宋_GBK" w:eastAsia="方正小标宋_GBK" w:cs="方正小标宋_GBK"/>
          <w:sz w:val="44"/>
          <w:lang w:eastAsia="zh-CN"/>
        </w:rPr>
        <w:t>》《</w:t>
      </w:r>
      <w:r>
        <w:rPr>
          <w:rFonts w:hint="eastAsia" w:ascii="方正小标宋简体" w:hAnsi="宋体" w:eastAsia="方正小标宋简体"/>
          <w:sz w:val="44"/>
          <w:szCs w:val="44"/>
        </w:rPr>
        <w:t>松桃苗族自治县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苗王城保护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条例</w:t>
      </w:r>
      <w:r>
        <w:rPr>
          <w:rFonts w:ascii="方正小标宋_GBK" w:eastAsia="方正小标宋_GBK" w:cs="方正小标宋_GBK"/>
          <w:sz w:val="44"/>
          <w:lang w:eastAsia="zh-CN"/>
        </w:rPr>
        <w:t>》《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关岭布依族苗族自治县</w:t>
      </w: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民族医药发展条例</w:t>
      </w:r>
      <w:r>
        <w:rPr>
          <w:rFonts w:ascii="方正小标宋_GBK" w:eastAsia="方正小标宋_GBK" w:cs="方正小标宋_GBK"/>
          <w:sz w:val="44"/>
          <w:lang w:eastAsia="zh-CN"/>
        </w:rPr>
        <w:t>》意见的函</w:t>
      </w:r>
    </w:p>
    <w:p>
      <w:pPr>
        <w:keepNext w:val="0"/>
        <w:keepLines w:val="0"/>
        <w:pageBreakBefore w:val="0"/>
        <w:widowControl w:val="0"/>
        <w:tabs>
          <w:tab w:val="left" w:pos="2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尊敬的常委会组成人员</w:t>
      </w:r>
      <w:r>
        <w:rPr>
          <w:rFonts w:hint="eastAsia" w:asci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务川仡佬族苗族自治县城镇管理条例</w:t>
      </w:r>
      <w:r>
        <w:rPr>
          <w:rFonts w:hint="eastAsia" w:asci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玉屏侗族自治县促进油茶产业发展条例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》《</w:t>
      </w:r>
      <w:r>
        <w:rPr>
          <w:rFonts w:hint="eastAsia" w:ascii="仿宋_GB2312" w:eastAsia="仿宋_GB2312" w:cs="仿宋_GB2312"/>
          <w:bCs/>
          <w:sz w:val="32"/>
          <w:szCs w:val="32"/>
        </w:rPr>
        <w:t>松桃苗族自治县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苗王城保护</w:t>
      </w:r>
      <w:r>
        <w:rPr>
          <w:rFonts w:hint="eastAsia" w:ascii="仿宋_GB2312" w:eastAsia="仿宋_GB2312" w:cs="仿宋_GB2312"/>
          <w:bCs/>
          <w:sz w:val="32"/>
          <w:szCs w:val="32"/>
        </w:rPr>
        <w:t>条例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rPr>
          <w:rFonts w:hint="default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bCs/>
          <w:sz w:val="32"/>
          <w:szCs w:val="32"/>
        </w:rPr>
        <w:t>关岭布依族苗族自治县民族医药发展条例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》已于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2023年1-2月分别经务川仡佬族苗族自治县、玉屏侗族自治县、松桃苗族自治县、关岭布依族苗族自治县人民代表大会审议通过，并报请省人大常委会审议批准。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right="0" w:firstLine="640" w:firstLineChars="200"/>
        <w:jc w:val="left"/>
        <w:rPr>
          <w:rFonts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按照省人大常委会工作安排，上述四件单行条例拟提请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5月份召开的常委会会议审议。</w:t>
      </w:r>
      <w:r>
        <w:rPr>
          <w:rFonts w:ascii="仿宋_GB2312" w:eastAsia="仿宋_GB2312" w:cs="仿宋_GB2312"/>
          <w:sz w:val="32"/>
          <w:szCs w:val="32"/>
        </w:rPr>
        <w:t>现将</w:t>
      </w:r>
      <w:r>
        <w:rPr>
          <w:rFonts w:ascii="仿宋_GB2312" w:eastAsia="仿宋_GB2312" w:cs="仿宋_GB2312"/>
          <w:sz w:val="32"/>
          <w:szCs w:val="32"/>
          <w:lang w:eastAsia="zh-CN"/>
        </w:rPr>
        <w:t>文本呈送给您，提前征求您的宝贵意见和建议。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意见和建议请于2023年4月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sz w:val="32"/>
          <w:szCs w:val="32"/>
          <w:lang w:eastAsia="zh-CN"/>
        </w:rPr>
        <w:t>日前以传真、电子邮件、信函等方式提出。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 w:firstLineChars="200"/>
        <w:rPr>
          <w:rFonts w:asci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  件：</w:t>
      </w:r>
      <w:r>
        <w:rPr>
          <w:rFonts w:hint="eastAsia" w:asci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务川仡佬族苗族自治县城镇管理条例</w:t>
      </w:r>
      <w:r>
        <w:rPr>
          <w:rFonts w:hint="eastAsia" w:ascii="仿宋_GB2312" w:eastAsia="仿宋_GB2312" w:cs="仿宋_GB2312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1920" w:firstLineChars="600"/>
        <w:rPr>
          <w:rFonts w:hint="eastAsia" w:asci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玉屏侗族自治县促进油茶产业发展条例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1920" w:firstLineChars="600"/>
        <w:rPr>
          <w:rFonts w:hint="eastAsia" w:asci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bCs/>
          <w:sz w:val="32"/>
          <w:szCs w:val="32"/>
        </w:rPr>
        <w:t>松桃苗族自治县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苗王城保护</w:t>
      </w:r>
      <w:r>
        <w:rPr>
          <w:rFonts w:hint="eastAsia" w:ascii="仿宋_GB2312" w:eastAsia="仿宋_GB2312" w:cs="仿宋_GB2312"/>
          <w:bCs/>
          <w:sz w:val="32"/>
          <w:szCs w:val="32"/>
        </w:rPr>
        <w:t>条例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 w:firstLine="1920" w:firstLineChars="600"/>
        <w:rPr>
          <w:rFonts w:hint="eastAsia" w:asci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bCs/>
          <w:sz w:val="32"/>
          <w:szCs w:val="32"/>
        </w:rPr>
        <w:t>关岭布依族苗族自治县民族医药发展条例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》</w:t>
      </w:r>
    </w:p>
    <w:p>
      <w:pPr>
        <w:widowControl w:val="0"/>
        <w:wordWrap/>
        <w:adjustRightInd/>
        <w:snapToGrid/>
        <w:spacing w:before="0" w:after="0" w:line="600" w:lineRule="exact"/>
        <w:ind w:left="0" w:right="0" w:firstLine="640" w:firstLineChars="200"/>
        <w:textAlignment w:val="auto"/>
        <w:outlineLvl w:val="9"/>
        <w:rPr>
          <w:rFonts w:asci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right="0" w:firstLine="640" w:firstLineChars="200"/>
        <w:textAlignment w:val="auto"/>
        <w:outlineLvl w:val="9"/>
        <w:rPr>
          <w:rFonts w:asci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黑体" w:eastAsia="黑体" w:cs="黑体"/>
          <w:sz w:val="32"/>
          <w:szCs w:val="32"/>
          <w:lang w:val="en-US" w:eastAsia="zh-CN"/>
        </w:rPr>
        <w:t>联系地址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贵州省人大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民宗委办公室</w:t>
      </w:r>
      <w:r>
        <w:rPr>
          <w:rFonts w:hint="eastAsia" w:ascii="仿宋_GB2312" w:eastAsia="仿宋_GB2312" w:cs="仿宋_GB2312"/>
          <w:sz w:val="32"/>
          <w:szCs w:val="32"/>
        </w:rPr>
        <w:t xml:space="preserve">   </w:t>
      </w:r>
    </w:p>
    <w:p>
      <w:pPr>
        <w:widowControl w:val="0"/>
        <w:wordWrap/>
        <w:adjustRightInd/>
        <w:snapToGrid/>
        <w:spacing w:before="0" w:after="0" w:line="600" w:lineRule="exact"/>
        <w:ind w:left="0" w:right="0" w:firstLine="640" w:firstLineChars="200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电    话：</w:t>
      </w:r>
      <w:r>
        <w:rPr>
          <w:rFonts w:hint="eastAsia" w:ascii="仿宋_GB2312" w:eastAsia="仿宋_GB2312" w:cs="仿宋_GB2312"/>
          <w:sz w:val="32"/>
          <w:szCs w:val="32"/>
        </w:rPr>
        <w:t>0851-86890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131</w:t>
      </w:r>
      <w:r>
        <w:rPr>
          <w:rFonts w:hint="eastAsia" w:ascii="仿宋_GB2312" w:eastAsia="仿宋_GB2312" w:cs="仿宋_GB2312"/>
          <w:sz w:val="32"/>
          <w:szCs w:val="32"/>
        </w:rPr>
        <w:t xml:space="preserve">（传真）  </w:t>
      </w:r>
    </w:p>
    <w:p>
      <w:pPr>
        <w:widowControl w:val="0"/>
        <w:wordWrap/>
        <w:adjustRightInd/>
        <w:snapToGrid/>
        <w:spacing w:before="0" w:after="0" w:line="600" w:lineRule="exact"/>
        <w:ind w:left="0" w:right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电子邮箱：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915512713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＠</w:t>
      </w:r>
      <w:r>
        <w:rPr>
          <w:rFonts w:hint="eastAsia" w:ascii="仿宋_GB2312" w:eastAsia="仿宋_GB2312" w:cs="仿宋_GB2312"/>
          <w:sz w:val="32"/>
          <w:szCs w:val="32"/>
        </w:rPr>
        <w:t>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省人大民族宗教委员会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202</w:t>
      </w:r>
      <w:r>
        <w:rPr>
          <w:rFonts w:asci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>年4月6日</w:t>
      </w:r>
    </w:p>
    <w:p>
      <w:pPr>
        <w:pStyle w:val="2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81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EAD1C40-38CC-4985-9A15-A27BAA2580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5D7204-C6A0-4BBA-972A-A5BDEB54F7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0F39DE8-6F7C-4073-A3ED-C291807DA5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5500AC3-AE0B-4017-A3C0-923AD44E962B}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A267BE93-3135-483C-BAB7-5D1B5E205D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sz w:val="21"/>
        <w:szCs w:val="21"/>
      </w:rPr>
    </w:pPr>
    <w:r>
      <w:rPr>
        <w:rStyle w:val="16"/>
        <w:sz w:val="21"/>
        <w:szCs w:val="21"/>
      </w:rPr>
      <w:fldChar w:fldCharType="begin"/>
    </w:r>
    <w:r>
      <w:rPr>
        <w:rStyle w:val="16"/>
        <w:sz w:val="21"/>
        <w:szCs w:val="21"/>
      </w:rPr>
      <w:instrText xml:space="preserve">Page</w:instrText>
    </w:r>
    <w:r>
      <w:rPr>
        <w:rStyle w:val="16"/>
        <w:sz w:val="21"/>
        <w:szCs w:val="21"/>
      </w:rPr>
      <w:fldChar w:fldCharType="separate"/>
    </w:r>
    <w:r>
      <w:rPr>
        <w:rStyle w:val="16"/>
        <w:sz w:val="21"/>
        <w:szCs w:val="21"/>
      </w:rPr>
      <w:t>1</w:t>
    </w:r>
    <w:r>
      <w:rPr>
        <w:rStyle w:val="16"/>
        <w:sz w:val="21"/>
        <w:szCs w:val="21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6"/>
      </w:rPr>
      <w:fldChar w:fldCharType="begin"/>
    </w:r>
    <w:r>
      <w:rPr>
        <w:rStyle w:val="16"/>
      </w:rPr>
      <w:instrText xml:space="preserve"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6"/>
      </w:rPr>
      <w:fldChar w:fldCharType="begin"/>
    </w:r>
    <w:r>
      <w:rPr>
        <w:rStyle w:val="16"/>
      </w:rPr>
      <w:instrText xml:space="preserve"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TE0ZmVkYzg2NjBhZGRiNjRmZjRjZmE4YTk2NDgifQ=="/>
  </w:docVars>
  <w:rsids>
    <w:rsidRoot w:val="00000000"/>
    <w:rsid w:val="1FCB3EFE"/>
    <w:rsid w:val="3FEAF233"/>
    <w:rsid w:val="5D0798FD"/>
    <w:rsid w:val="737FB4C0"/>
    <w:rsid w:val="76FBBAB2"/>
    <w:rsid w:val="7B7E581C"/>
    <w:rsid w:val="7DCCEAC8"/>
    <w:rsid w:val="7EFDB0D8"/>
    <w:rsid w:val="7FF9D27F"/>
    <w:rsid w:val="A37F6E53"/>
    <w:rsid w:val="DD77A8E5"/>
    <w:rsid w:val="EBBF2312"/>
    <w:rsid w:val="FF576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仿宋_GB2312" w:hAnsi="Times New Roman" w:eastAsia="仿宋_GB2312"/>
      <w:kern w:val="0"/>
      <w:sz w:val="32"/>
      <w:szCs w:val="24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rPr>
      <w:rFonts w:ascii="宋体" w:cs="Courier New"/>
      <w:szCs w:val="21"/>
    </w:rPr>
  </w:style>
  <w:style w:type="paragraph" w:styleId="9">
    <w:name w:val="Date"/>
    <w:basedOn w:val="1"/>
    <w:next w:val="1"/>
    <w:qFormat/>
    <w:uiPriority w:val="0"/>
    <w:pPr>
      <w:ind w:left="25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11"/>
    <w:pPr>
      <w:jc w:val="center"/>
    </w:pPr>
    <w:rPr>
      <w:sz w:val="24"/>
    </w:rPr>
  </w:style>
  <w:style w:type="paragraph" w:styleId="13">
    <w:name w:val="Normal (Web)"/>
    <w:basedOn w:val="1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标题 Char Char"/>
    <w:basedOn w:val="18"/>
    <w:next w:val="12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18">
    <w:name w:val="正文 New New New New New New New"/>
    <w:next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630</Words>
  <Characters>686</Characters>
  <Lines>33</Lines>
  <Paragraphs>16</Paragraphs>
  <TotalTime>75</TotalTime>
  <ScaleCrop>false</ScaleCrop>
  <LinksUpToDate>false</LinksUpToDate>
  <CharactersWithSpaces>730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2018-06-16T08:49:00Z</dcterms:created>
  <dc:creator>雨清扬</dc:creator>
  <cp:lastModifiedBy>清心</cp:lastModifiedBy>
  <cp:lastPrinted>2023-04-06T10:48:00Z</cp:lastPrinted>
  <dcterms:modified xsi:type="dcterms:W3CDTF">2023-04-06T03:49:37Z</dcterms:modified>
  <dc:title>关于协助征求《贵阳市地下空间开发利用条例（草案）》意见的函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0C709348336E4E9EBAFB8B29B16C1601_12</vt:lpwstr>
  </property>
</Properties>
</file>