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kinsoku/>
        <w:wordWrap/>
        <w:overflowPunct/>
        <w:topLinePunct w:val="0"/>
        <w:autoSpaceDE/>
        <w:autoSpaceDN/>
        <w:bidi w:val="0"/>
        <w:snapToGrid w:val="0"/>
        <w:spacing w:line="600" w:lineRule="exact"/>
        <w:jc w:val="center"/>
        <w:textAlignment w:val="auto"/>
        <w:rPr>
          <w:rFonts w:ascii="方正小标宋简体" w:eastAsia="方正小标宋简体" w:cs="方正小标宋简体"/>
          <w:b w:val="0"/>
          <w:bCs w:val="0"/>
          <w:color w:val="auto"/>
          <w:spacing w:val="0"/>
          <w:sz w:val="44"/>
          <w:szCs w:val="44"/>
          <w:lang w:eastAsia="zh-CN"/>
        </w:rPr>
      </w:pPr>
    </w:p>
    <w:p>
      <w:pPr>
        <w:keepNext w:val="0"/>
        <w:keepLines w:val="0"/>
        <w:pageBreakBefore w:val="0"/>
        <w:widowControl/>
        <w:kinsoku/>
        <w:wordWrap/>
        <w:overflowPunct/>
        <w:topLinePunct w:val="0"/>
        <w:autoSpaceDE/>
        <w:autoSpaceDN/>
        <w:bidi w:val="0"/>
        <w:snapToGrid w:val="0"/>
        <w:spacing w:line="600" w:lineRule="exact"/>
        <w:jc w:val="center"/>
        <w:textAlignment w:val="auto"/>
        <w:rPr>
          <w:rFonts w:ascii="黑体" w:eastAsia="方正小标宋简体" w:cs="黑体" w:hAnsi="黑体" w:hint="eastAsia"/>
          <w:b/>
          <w:bCs/>
          <w:color w:val="auto"/>
          <w:spacing w:val="0"/>
          <w:sz w:val="44"/>
          <w:szCs w:val="44"/>
          <w:lang w:val="en-US" w:eastAsia="zh-CN"/>
        </w:rPr>
      </w:pPr>
      <w:bookmarkStart w:id="0" w:name="_GoBack"/>
      <w:bookmarkEnd w:id="0"/>
      <w:r>
        <w:rPr>
          <w:rFonts w:ascii="方正小标宋简体" w:eastAsia="方正小标宋简体" w:cs="方正小标宋简体" w:hint="eastAsia"/>
          <w:b w:val="0"/>
          <w:bCs w:val="0"/>
          <w:color w:val="auto"/>
          <w:spacing w:val="0"/>
          <w:sz w:val="44"/>
          <w:szCs w:val="44"/>
          <w:lang w:eastAsia="zh-CN"/>
        </w:rPr>
        <w:t>铜仁市红色</w:t>
      </w:r>
      <w:r>
        <w:rPr>
          <w:rFonts w:ascii="方正小标宋简体" w:eastAsia="方正小标宋简体" w:cs="方正小标宋简体" w:hint="eastAsia"/>
          <w:b w:val="0"/>
          <w:bCs w:val="0"/>
          <w:color w:val="auto"/>
          <w:spacing w:val="0"/>
          <w:sz w:val="44"/>
          <w:szCs w:val="44"/>
          <w:lang w:val="en-US" w:eastAsia="zh-CN"/>
        </w:rPr>
        <w:t>遗址遗迹</w:t>
      </w:r>
      <w:r>
        <w:rPr>
          <w:rFonts w:ascii="方正小标宋简体" w:eastAsia="方正小标宋简体" w:cs="方正小标宋简体" w:hint="eastAsia"/>
          <w:b w:val="0"/>
          <w:bCs w:val="0"/>
          <w:color w:val="auto"/>
          <w:spacing w:val="0"/>
          <w:sz w:val="44"/>
          <w:szCs w:val="44"/>
        </w:rPr>
        <w:t>保护条例</w:t>
      </w:r>
    </w:p>
    <w:p>
      <w:pPr>
        <w:keepLines w:val="0"/>
        <w:pageBreakBefore w:val="0"/>
        <w:kinsoku/>
        <w:wordWrap/>
        <w:topLinePunct w:val="0"/>
        <w:autoSpaceDE/>
        <w:autoSpaceDN/>
        <w:bidi w:val="0"/>
        <w:spacing w:line="600" w:lineRule="exact"/>
        <w:ind w:firstLineChars="200" w:firstLine="616"/>
        <w:jc w:val="left"/>
        <w:textAlignment w:val="auto"/>
        <w:rPr>
          <w:rFonts w:ascii="楷体_GB2312" w:eastAsia="楷体_GB2312" w:cs="楷体_GB2312" w:hint="eastAsia"/>
          <w:bCs/>
          <w:color w:val="000000"/>
          <w:spacing w:val="-6"/>
          <w:w w:val="100"/>
          <w:sz w:val="32"/>
          <w:szCs w:val="32"/>
        </w:rPr>
      </w:pPr>
      <w:r>
        <w:rPr>
          <w:rFonts w:ascii="楷体_GB2312" w:eastAsia="楷体_GB2312" w:cs="楷体_GB2312" w:hint="eastAsia"/>
          <w:bCs/>
          <w:color w:val="000000"/>
          <w:spacing w:val="-6"/>
          <w:w w:val="100"/>
          <w:sz w:val="32"/>
          <w:szCs w:val="32"/>
        </w:rPr>
        <w:t>（202</w:t>
      </w:r>
      <w:r>
        <w:rPr>
          <w:rFonts w:ascii="楷体_GB2312" w:eastAsia="楷体_GB2312" w:cs="楷体_GB2312" w:hint="eastAsia"/>
          <w:bCs/>
          <w:color w:val="000000"/>
          <w:spacing w:val="-6"/>
          <w:w w:val="100"/>
          <w:sz w:val="32"/>
          <w:szCs w:val="32"/>
          <w:lang w:val="en-US" w:eastAsia="zh-CN"/>
        </w:rPr>
        <w:t>3</w:t>
      </w:r>
      <w:r>
        <w:rPr>
          <w:rFonts w:ascii="楷体_GB2312" w:eastAsia="楷体_GB2312" w:cs="楷体_GB2312" w:hint="eastAsia"/>
          <w:bCs/>
          <w:color w:val="000000"/>
          <w:spacing w:val="-6"/>
          <w:w w:val="100"/>
          <w:sz w:val="32"/>
          <w:szCs w:val="32"/>
        </w:rPr>
        <w:t>年</w:t>
      </w:r>
      <w:r>
        <w:rPr>
          <w:rFonts w:ascii="楷体_GB2312" w:eastAsia="楷体_GB2312" w:cs="楷体_GB2312" w:hint="eastAsia"/>
          <w:bCs/>
          <w:color w:val="000000"/>
          <w:spacing w:val="-6"/>
          <w:w w:val="100"/>
          <w:sz w:val="32"/>
          <w:szCs w:val="32"/>
          <w:lang w:val="en-US" w:eastAsia="zh-CN"/>
        </w:rPr>
        <w:t>10</w:t>
      </w:r>
      <w:r>
        <w:rPr>
          <w:rFonts w:ascii="楷体_GB2312" w:eastAsia="楷体_GB2312" w:cs="楷体_GB2312" w:hint="eastAsia"/>
          <w:bCs/>
          <w:color w:val="000000"/>
          <w:spacing w:val="-6"/>
          <w:w w:val="100"/>
          <w:sz w:val="32"/>
          <w:szCs w:val="32"/>
        </w:rPr>
        <w:t>月</w:t>
      </w:r>
      <w:r>
        <w:rPr>
          <w:rFonts w:ascii="楷体_GB2312" w:eastAsia="楷体_GB2312" w:cs="楷体_GB2312" w:hint="eastAsia"/>
          <w:bCs/>
          <w:color w:val="000000"/>
          <w:spacing w:val="-6"/>
          <w:w w:val="100"/>
          <w:sz w:val="32"/>
          <w:szCs w:val="32"/>
          <w:lang w:val="en-US" w:eastAsia="zh-CN"/>
        </w:rPr>
        <w:t>26</w:t>
      </w:r>
      <w:r>
        <w:rPr>
          <w:rFonts w:ascii="楷体_GB2312" w:eastAsia="楷体_GB2312" w:cs="楷体_GB2312" w:hint="eastAsia"/>
          <w:bCs/>
          <w:color w:val="000000"/>
          <w:spacing w:val="-6"/>
          <w:w w:val="100"/>
          <w:sz w:val="32"/>
          <w:szCs w:val="32"/>
        </w:rPr>
        <w:t>日铜仁市第</w:t>
      </w:r>
      <w:r>
        <w:rPr>
          <w:rFonts w:ascii="楷体_GB2312" w:eastAsia="楷体_GB2312" w:cs="楷体_GB2312" w:hint="eastAsia"/>
          <w:bCs/>
          <w:color w:val="000000"/>
          <w:spacing w:val="-6"/>
          <w:w w:val="100"/>
          <w:sz w:val="32"/>
          <w:szCs w:val="32"/>
          <w:lang w:eastAsia="zh-CN"/>
        </w:rPr>
        <w:t>三</w:t>
      </w:r>
      <w:r>
        <w:rPr>
          <w:rFonts w:ascii="楷体_GB2312" w:eastAsia="楷体_GB2312" w:cs="楷体_GB2312" w:hint="eastAsia"/>
          <w:bCs/>
          <w:color w:val="000000"/>
          <w:spacing w:val="-6"/>
          <w:w w:val="100"/>
          <w:sz w:val="32"/>
          <w:szCs w:val="32"/>
        </w:rPr>
        <w:t>届人民代表大会常务委员会</w:t>
      </w:r>
    </w:p>
    <w:p>
      <w:pPr>
        <w:keepLines w:val="0"/>
        <w:pageBreakBefore w:val="0"/>
        <w:kinsoku/>
        <w:wordWrap/>
        <w:topLinePunct w:val="0"/>
        <w:autoSpaceDE/>
        <w:autoSpaceDN/>
        <w:bidi w:val="0"/>
        <w:spacing w:line="600" w:lineRule="exact"/>
        <w:jc w:val="left"/>
        <w:textAlignment w:val="auto"/>
        <w:rPr>
          <w:rFonts w:ascii="楷体_GB2312" w:eastAsia="楷体_GB2312" w:cs="楷体_GB2312" w:hint="eastAsia"/>
          <w:bCs/>
          <w:color w:val="000000"/>
          <w:spacing w:val="-6"/>
          <w:w w:val="100"/>
          <w:sz w:val="32"/>
          <w:szCs w:val="32"/>
        </w:rPr>
      </w:pPr>
      <w:r>
        <w:rPr>
          <w:rFonts w:ascii="楷体_GB2312" w:eastAsia="楷体_GB2312" w:cs="楷体_GB2312" w:hint="eastAsia"/>
          <w:bCs/>
          <w:color w:val="000000"/>
          <w:spacing w:val="-6"/>
          <w:w w:val="100"/>
          <w:sz w:val="32"/>
          <w:szCs w:val="32"/>
        </w:rPr>
        <w:t>第</w:t>
      </w:r>
      <w:r>
        <w:rPr>
          <w:rFonts w:ascii="楷体_GB2312" w:eastAsia="楷体_GB2312" w:cs="楷体_GB2312" w:hint="eastAsia"/>
          <w:bCs/>
          <w:color w:val="000000"/>
          <w:spacing w:val="-6"/>
          <w:w w:val="100"/>
          <w:sz w:val="32"/>
          <w:szCs w:val="32"/>
          <w:lang w:eastAsia="zh-CN"/>
        </w:rPr>
        <w:t>十四</w:t>
      </w:r>
      <w:r>
        <w:rPr>
          <w:rFonts w:ascii="楷体_GB2312" w:eastAsia="楷体_GB2312" w:cs="楷体_GB2312" w:hint="eastAsia"/>
          <w:bCs/>
          <w:color w:val="000000"/>
          <w:spacing w:val="-6"/>
          <w:w w:val="100"/>
          <w:sz w:val="32"/>
          <w:szCs w:val="32"/>
        </w:rPr>
        <w:t>次会议通过）</w:t>
      </w:r>
    </w:p>
    <w:p>
      <w:pPr>
        <w:pStyle w:val="18"/>
        <w:keepNext w:val="0"/>
        <w:keepLines w:val="0"/>
        <w:pageBreakBefore w:val="0"/>
        <w:widowControl/>
        <w:kinsoku/>
        <w:wordWrap/>
        <w:overflowPunct/>
        <w:topLinePunct w:val="0"/>
        <w:autoSpaceDE/>
        <w:autoSpaceDN/>
        <w:bidi w:val="0"/>
        <w:adjustRightInd w:val="0"/>
        <w:snapToGrid w:val="0"/>
        <w:spacing w:line="600" w:lineRule="exact"/>
        <w:ind w:firstLineChars="200" w:firstLine="420"/>
        <w:textAlignment w:val="auto"/>
        <w:rPr>
          <w:rFonts w:ascii="仿宋" w:eastAsia="仿宋" w:cs="宋体" w:hint="eastAsia"/>
          <w:color w:val="auto"/>
          <w:spacing w:val="0"/>
          <w:szCs w:val="32"/>
        </w:rPr>
      </w:pPr>
    </w:p>
    <w:p>
      <w:pPr>
        <w:pStyle w:val="18"/>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楷体_GB2312" w:eastAsia="楷体_GB2312" w:cs="黑体" w:hint="eastAsia"/>
          <w:b w:val="0"/>
          <w:bCs w:val="0"/>
          <w:color w:val="auto"/>
          <w:spacing w:val="0"/>
          <w:sz w:val="36"/>
          <w:szCs w:val="36"/>
          <w:lang w:eastAsia="zh-CN"/>
        </w:rPr>
      </w:pPr>
      <w:r>
        <w:rPr>
          <w:rFonts w:ascii="楷体_GB2312" w:eastAsia="楷体_GB2312" w:cs="黑体" w:hint="eastAsia"/>
          <w:b w:val="0"/>
          <w:bCs w:val="0"/>
          <w:color w:val="auto"/>
          <w:spacing w:val="0"/>
          <w:sz w:val="36"/>
          <w:szCs w:val="36"/>
          <w:lang w:eastAsia="zh-CN"/>
        </w:rPr>
        <w:t>目</w:t>
      </w:r>
      <w:r>
        <w:rPr>
          <w:rFonts w:ascii="楷体_GB2312" w:eastAsia="楷体_GB2312" w:cs="黑体" w:hint="eastAsia"/>
          <w:b w:val="0"/>
          <w:bCs w:val="0"/>
          <w:color w:val="auto"/>
          <w:spacing w:val="0"/>
          <w:sz w:val="36"/>
          <w:szCs w:val="36"/>
          <w:lang w:val="en-US" w:eastAsia="zh-CN"/>
        </w:rPr>
        <w:t xml:space="preserve">  </w:t>
      </w:r>
      <w:r>
        <w:rPr>
          <w:rFonts w:ascii="楷体_GB2312" w:eastAsia="楷体_GB2312" w:cs="黑体" w:hint="eastAsia"/>
          <w:b w:val="0"/>
          <w:bCs w:val="0"/>
          <w:color w:val="auto"/>
          <w:spacing w:val="0"/>
          <w:sz w:val="36"/>
          <w:szCs w:val="36"/>
          <w:lang w:eastAsia="zh-CN"/>
        </w:rPr>
        <w:t>录</w:t>
      </w:r>
    </w:p>
    <w:p>
      <w:pPr>
        <w:pStyle w:val="18"/>
        <w:keepNext w:val="0"/>
        <w:keepLines w:val="0"/>
        <w:pageBreakBefore w:val="0"/>
        <w:widowControl/>
        <w:kinsoku/>
        <w:wordWrap/>
        <w:overflowPunct/>
        <w:topLinePunct w:val="0"/>
        <w:autoSpaceDE/>
        <w:autoSpaceDN/>
        <w:bidi w:val="0"/>
        <w:adjustRightInd w:val="0"/>
        <w:snapToGrid w:val="0"/>
        <w:spacing w:line="600" w:lineRule="exact"/>
        <w:ind w:firstLineChars="200" w:firstLine="720"/>
        <w:jc w:val="center"/>
        <w:textAlignment w:val="auto"/>
        <w:rPr>
          <w:rFonts w:ascii="楷体_GB2312" w:eastAsia="楷体_GB2312" w:cs="黑体" w:hint="eastAsia"/>
          <w:b/>
          <w:bCs/>
          <w:color w:val="auto"/>
          <w:spacing w:val="0"/>
          <w:sz w:val="36"/>
          <w:szCs w:val="36"/>
          <w:lang w:eastAsia="zh-CN"/>
        </w:rPr>
      </w:pPr>
    </w:p>
    <w:p>
      <w:pPr>
        <w:pStyle w:val="18"/>
        <w:keepNext w:val="0"/>
        <w:keepLines w:val="0"/>
        <w:pageBreakBefore w:val="0"/>
        <w:widowControl/>
        <w:kinsoku/>
        <w:wordWrap/>
        <w:overflowPunct/>
        <w:topLinePunct w:val="0"/>
        <w:autoSpaceDE/>
        <w:autoSpaceDN/>
        <w:bidi w:val="0"/>
        <w:adjustRightInd w:val="0"/>
        <w:snapToGrid w:val="0"/>
        <w:spacing w:line="600" w:lineRule="exact"/>
        <w:ind w:left="0" w:firstLineChars="200" w:firstLine="640"/>
        <w:textAlignment w:val="auto"/>
        <w:rPr>
          <w:rFonts w:ascii="楷体_GB2312" w:eastAsia="楷体_GB2312" w:cs="黑体" w:hint="eastAsia"/>
          <w:color w:val="auto"/>
          <w:spacing w:val="0"/>
          <w:kern w:val="2"/>
          <w:sz w:val="32"/>
          <w:szCs w:val="32"/>
          <w:lang w:val="en-US" w:eastAsia="zh-CN" w:bidi="ar-SA"/>
        </w:rPr>
      </w:pPr>
      <w:r>
        <w:rPr>
          <w:rFonts w:ascii="楷体_GB2312" w:eastAsia="楷体_GB2312" w:cs="黑体" w:hint="eastAsia"/>
          <w:color w:val="auto"/>
          <w:spacing w:val="0"/>
          <w:kern w:val="2"/>
          <w:sz w:val="32"/>
          <w:szCs w:val="32"/>
          <w:lang w:val="en-US" w:eastAsia="zh-CN" w:bidi="ar-SA"/>
        </w:rPr>
        <w:t>第一章  总</w:t>
      </w:r>
      <w:r>
        <w:rPr>
          <w:rFonts w:ascii="楷体_GB2312" w:eastAsia="楷体_GB2312" w:cs="黑体"/>
          <w:color w:val="auto"/>
          <w:spacing w:val="0"/>
          <w:kern w:val="2"/>
          <w:sz w:val="32"/>
          <w:szCs w:val="32"/>
          <w:lang w:val="en-US" w:eastAsia="zh-CN" w:bidi="ar-SA"/>
        </w:rPr>
        <w:t xml:space="preserve">  </w:t>
      </w:r>
      <w:r>
        <w:rPr>
          <w:rFonts w:ascii="楷体_GB2312" w:eastAsia="楷体_GB2312" w:cs="黑体" w:hint="eastAsia"/>
          <w:color w:val="auto"/>
          <w:spacing w:val="0"/>
          <w:kern w:val="2"/>
          <w:sz w:val="32"/>
          <w:szCs w:val="32"/>
          <w:lang w:val="en-US" w:eastAsia="zh-CN" w:bidi="ar-SA"/>
        </w:rPr>
        <w:t>则</w:t>
      </w:r>
    </w:p>
    <w:p>
      <w:pPr>
        <w:pStyle w:val="18"/>
        <w:keepNext w:val="0"/>
        <w:keepLines w:val="0"/>
        <w:pageBreakBefore w:val="0"/>
        <w:widowControl/>
        <w:kinsoku/>
        <w:wordWrap/>
        <w:overflowPunct/>
        <w:topLinePunct w:val="0"/>
        <w:autoSpaceDE/>
        <w:autoSpaceDN/>
        <w:bidi w:val="0"/>
        <w:adjustRightInd w:val="0"/>
        <w:snapToGrid w:val="0"/>
        <w:spacing w:line="600" w:lineRule="exact"/>
        <w:ind w:left="0" w:firstLineChars="200" w:firstLine="640"/>
        <w:textAlignment w:val="auto"/>
        <w:rPr>
          <w:rFonts w:ascii="楷体_GB2312" w:eastAsia="楷体_GB2312" w:cs="黑体" w:hint="eastAsia"/>
          <w:color w:val="auto"/>
          <w:spacing w:val="0"/>
          <w:kern w:val="2"/>
          <w:sz w:val="32"/>
          <w:szCs w:val="32"/>
          <w:lang w:val="en-US" w:eastAsia="zh-CN" w:bidi="ar-SA"/>
        </w:rPr>
      </w:pPr>
      <w:r>
        <w:rPr>
          <w:rFonts w:ascii="楷体_GB2312" w:eastAsia="楷体_GB2312" w:cs="黑体" w:hint="eastAsia"/>
          <w:color w:val="auto"/>
          <w:spacing w:val="0"/>
          <w:kern w:val="2"/>
          <w:sz w:val="32"/>
          <w:szCs w:val="32"/>
          <w:lang w:val="en-US" w:eastAsia="zh-CN" w:bidi="ar-SA"/>
        </w:rPr>
        <w:t>第二章  保护管理</w:t>
      </w:r>
    </w:p>
    <w:p>
      <w:pPr>
        <w:pStyle w:val="18"/>
        <w:keepNext w:val="0"/>
        <w:keepLines w:val="0"/>
        <w:pageBreakBefore w:val="0"/>
        <w:widowControl/>
        <w:kinsoku/>
        <w:wordWrap/>
        <w:overflowPunct/>
        <w:topLinePunct w:val="0"/>
        <w:autoSpaceDE/>
        <w:autoSpaceDN/>
        <w:bidi w:val="0"/>
        <w:adjustRightInd w:val="0"/>
        <w:snapToGrid w:val="0"/>
        <w:spacing w:line="600" w:lineRule="exact"/>
        <w:ind w:left="0" w:firstLineChars="200" w:firstLine="640"/>
        <w:textAlignment w:val="auto"/>
        <w:rPr>
          <w:rFonts w:ascii="楷体_GB2312" w:eastAsia="楷体_GB2312" w:cs="黑体" w:hint="eastAsia"/>
          <w:color w:val="auto"/>
          <w:spacing w:val="0"/>
          <w:kern w:val="2"/>
          <w:sz w:val="32"/>
          <w:szCs w:val="32"/>
          <w:lang w:val="en-US" w:eastAsia="zh-CN" w:bidi="ar-SA"/>
        </w:rPr>
      </w:pPr>
      <w:r>
        <w:rPr>
          <w:rFonts w:ascii="楷体_GB2312" w:eastAsia="楷体_GB2312" w:cs="黑体" w:hint="eastAsia"/>
          <w:color w:val="auto"/>
          <w:spacing w:val="0"/>
          <w:kern w:val="2"/>
          <w:sz w:val="32"/>
          <w:szCs w:val="32"/>
          <w:lang w:val="en-US" w:eastAsia="zh-CN" w:bidi="ar-SA"/>
        </w:rPr>
        <w:t>第三章  传承利用</w:t>
      </w:r>
    </w:p>
    <w:p>
      <w:pPr>
        <w:pStyle w:val="18"/>
        <w:keepNext w:val="0"/>
        <w:keepLines w:val="0"/>
        <w:pageBreakBefore w:val="0"/>
        <w:widowControl/>
        <w:kinsoku/>
        <w:wordWrap/>
        <w:overflowPunct/>
        <w:topLinePunct w:val="0"/>
        <w:autoSpaceDE/>
        <w:autoSpaceDN/>
        <w:bidi w:val="0"/>
        <w:adjustRightInd w:val="0"/>
        <w:snapToGrid w:val="0"/>
        <w:spacing w:line="600" w:lineRule="exact"/>
        <w:ind w:left="0" w:firstLineChars="200" w:firstLine="640"/>
        <w:textAlignment w:val="auto"/>
        <w:rPr>
          <w:rFonts w:ascii="楷体_GB2312" w:eastAsia="楷体_GB2312" w:cs="黑体" w:hint="eastAsia"/>
          <w:color w:val="auto"/>
          <w:spacing w:val="0"/>
          <w:kern w:val="2"/>
          <w:sz w:val="32"/>
          <w:szCs w:val="32"/>
          <w:lang w:val="en-US" w:eastAsia="zh-CN" w:bidi="ar-SA"/>
        </w:rPr>
      </w:pPr>
      <w:r>
        <w:rPr>
          <w:rFonts w:ascii="楷体_GB2312" w:eastAsia="楷体_GB2312" w:cs="黑体" w:hint="eastAsia"/>
          <w:color w:val="auto"/>
          <w:spacing w:val="0"/>
          <w:kern w:val="2"/>
          <w:sz w:val="32"/>
          <w:szCs w:val="32"/>
          <w:lang w:val="en-US" w:eastAsia="zh-CN" w:bidi="ar-SA"/>
        </w:rPr>
        <w:t>第四章  法律责任</w:t>
      </w:r>
    </w:p>
    <w:p>
      <w:pPr>
        <w:pStyle w:val="18"/>
        <w:keepNext w:val="0"/>
        <w:keepLines w:val="0"/>
        <w:pageBreakBefore w:val="0"/>
        <w:widowControl/>
        <w:kinsoku/>
        <w:wordWrap/>
        <w:overflowPunct/>
        <w:topLinePunct w:val="0"/>
        <w:autoSpaceDE/>
        <w:autoSpaceDN/>
        <w:bidi w:val="0"/>
        <w:adjustRightInd w:val="0"/>
        <w:snapToGrid w:val="0"/>
        <w:spacing w:line="600" w:lineRule="exact"/>
        <w:ind w:left="0" w:firstLineChars="200" w:firstLine="640"/>
        <w:textAlignment w:val="auto"/>
        <w:rPr>
          <w:rFonts w:ascii="楷体_GB2312" w:eastAsia="楷体_GB2312" w:cs="黑体" w:hint="eastAsia"/>
          <w:color w:val="auto"/>
          <w:spacing w:val="0"/>
          <w:kern w:val="2"/>
          <w:sz w:val="32"/>
          <w:szCs w:val="32"/>
          <w:lang w:val="en-US" w:eastAsia="zh-CN" w:bidi="ar-SA"/>
        </w:rPr>
      </w:pPr>
      <w:r>
        <w:rPr>
          <w:rFonts w:ascii="楷体_GB2312" w:eastAsia="楷体_GB2312" w:cs="黑体" w:hint="eastAsia"/>
          <w:color w:val="auto"/>
          <w:spacing w:val="0"/>
          <w:kern w:val="2"/>
          <w:sz w:val="32"/>
          <w:szCs w:val="32"/>
          <w:lang w:val="en-US" w:eastAsia="zh-CN" w:bidi="ar-SA"/>
        </w:rPr>
        <w:t>第五章  附</w:t>
      </w:r>
      <w:r>
        <w:rPr>
          <w:rFonts w:ascii="楷体_GB2312" w:eastAsia="楷体_GB2312" w:cs="黑体"/>
          <w:color w:val="auto"/>
          <w:spacing w:val="0"/>
          <w:kern w:val="2"/>
          <w:sz w:val="32"/>
          <w:szCs w:val="32"/>
          <w:lang w:val="en-US" w:eastAsia="zh-CN" w:bidi="ar-SA"/>
        </w:rPr>
        <w:t xml:space="preserve">  </w:t>
      </w:r>
      <w:r>
        <w:rPr>
          <w:rFonts w:ascii="楷体_GB2312" w:eastAsia="楷体_GB2312" w:cs="黑体" w:hint="eastAsia"/>
          <w:color w:val="auto"/>
          <w:spacing w:val="0"/>
          <w:kern w:val="2"/>
          <w:sz w:val="32"/>
          <w:szCs w:val="32"/>
          <w:lang w:val="en-US" w:eastAsia="zh-CN" w:bidi="ar-SA"/>
        </w:rPr>
        <w:t>则</w:t>
      </w:r>
    </w:p>
    <w:p>
      <w:pPr>
        <w:pStyle w:val="18"/>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黑体" w:eastAsia="黑体" w:cs="黑体" w:hint="eastAsia"/>
          <w:color w:val="auto"/>
          <w:spacing w:val="0"/>
          <w:kern w:val="2"/>
          <w:sz w:val="32"/>
          <w:szCs w:val="32"/>
          <w:lang w:val="en-US" w:eastAsia="zh-CN" w:bidi="ar-SA"/>
        </w:rPr>
      </w:pPr>
    </w:p>
    <w:p>
      <w:pPr>
        <w:pStyle w:val="18"/>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ascii="黑体" w:eastAsia="黑体" w:cs="黑体"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第一章  总  则</w:t>
      </w:r>
    </w:p>
    <w:p>
      <w:pPr>
        <w:pStyle w:val="18"/>
        <w:keepNext w:val="0"/>
        <w:keepLines w:val="0"/>
        <w:pageBreakBefore w:val="0"/>
        <w:widowControl/>
        <w:kinsoku/>
        <w:wordWrap/>
        <w:overflowPunct/>
        <w:topLinePunct w:val="0"/>
        <w:autoSpaceDE/>
        <w:autoSpaceDN/>
        <w:bidi w:val="0"/>
        <w:adjustRightInd w:val="0"/>
        <w:snapToGrid w:val="0"/>
        <w:spacing w:line="580" w:lineRule="exact"/>
        <w:jc w:val="both"/>
        <w:textAlignment w:val="auto"/>
        <w:rPr>
          <w:rFonts w:ascii="仿宋_GB2312" w:eastAsia="仿宋_GB2312" w:cs="仿宋_GB2312" w:hint="eastAsia"/>
          <w:color w:val="auto"/>
          <w:spacing w:val="0"/>
          <w:sz w:val="32"/>
          <w:szCs w:val="32"/>
          <w:lang w:val="en-US" w:eastAsia="zh-CN"/>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val="0"/>
        <w:spacing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第一条  </w:t>
      </w:r>
      <w:r>
        <w:rPr>
          <w:rFonts w:ascii="仿宋_GB2312" w:eastAsia="仿宋_GB2312" w:cs="仿宋_GB2312" w:hint="eastAsia"/>
          <w:color w:val="auto"/>
          <w:spacing w:val="0"/>
          <w:kern w:val="2"/>
          <w:sz w:val="32"/>
          <w:szCs w:val="32"/>
          <w:lang w:val="en-US" w:eastAsia="zh-CN" w:bidi="ar-SA"/>
        </w:rPr>
        <w:t>为了加强红色遗址遗迹保护，弘扬红色文化，传承红色基因，践行社会主义核心价值观，根据《中华人民共和国文物保护法》《中华人民共和国英雄烈士保护法》《贵州省长征国家文化公园条例》等法律、法规的规定，结合本市实际，制定本条例。</w:t>
      </w:r>
    </w:p>
    <w:p>
      <w:pPr>
        <w:pStyle w:val="18"/>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sz w:val="32"/>
          <w:szCs w:val="32"/>
          <w:lang w:val="en-US" w:eastAsia="zh-CN"/>
        </w:rPr>
        <w:t xml:space="preserve">   </w:t>
      </w:r>
      <w:r>
        <w:rPr>
          <w:rFonts w:ascii="黑体" w:eastAsia="黑体" w:cs="黑体" w:hint="eastAsia"/>
          <w:color w:val="auto"/>
          <w:spacing w:val="0"/>
          <w:kern w:val="2"/>
          <w:sz w:val="32"/>
          <w:szCs w:val="32"/>
          <w:lang w:val="en-US" w:eastAsia="zh-CN" w:bidi="ar-SA"/>
        </w:rPr>
        <w:t xml:space="preserve"> 第二条  </w:t>
      </w:r>
      <w:r>
        <w:rPr>
          <w:rFonts w:ascii="仿宋_GB2312" w:eastAsia="仿宋_GB2312" w:cs="仿宋_GB2312" w:hint="eastAsia"/>
          <w:color w:val="auto"/>
          <w:spacing w:val="0"/>
          <w:kern w:val="2"/>
          <w:sz w:val="32"/>
          <w:szCs w:val="32"/>
          <w:lang w:val="en-US" w:eastAsia="zh-CN" w:bidi="ar-SA"/>
        </w:rPr>
        <w:t>本市行政区域内红色遗址遗迹的保护管理和传承利用等活动适用本条例。</w:t>
      </w:r>
    </w:p>
    <w:p>
      <w:pPr>
        <w:keepNext w:val="0"/>
        <w:keepLines w:val="0"/>
        <w:pageBreakBefore w:val="0"/>
        <w:widowControl w:val="0"/>
        <w:kinsoku/>
        <w:wordWrap/>
        <w:overflowPunct/>
        <w:topLinePunct w:val="0"/>
        <w:autoSpaceDE/>
        <w:autoSpaceDN/>
        <w:bidi w:val="0"/>
        <w:spacing w:line="600" w:lineRule="exact"/>
        <w:ind w:firstLineChars="200" w:firstLine="640"/>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本条例所称红色遗址遗迹，是指中国共产党自成立以来，团结带领各族人民进行革命、建设、改革中，在本市行政区域内形成的具有历史价值、纪念意义、教育作用的旧址、发生地、场馆和纪念设施。包括：</w:t>
      </w:r>
    </w:p>
    <w:p>
      <w:pPr>
        <w:pStyle w:val="18"/>
        <w:keepNext w:val="0"/>
        <w:keepLines w:val="0"/>
        <w:pageBreakBefore w:val="0"/>
        <w:widowControl w:val="0"/>
        <w:kinsoku/>
        <w:wordWrap/>
        <w:overflowPunct/>
        <w:topLinePunct w:val="0"/>
        <w:autoSpaceDE/>
        <w:autoSpaceDN/>
        <w:bidi w:val="0"/>
        <w:adjustRightInd w:val="0"/>
        <w:snapToGrid w:val="0"/>
        <w:spacing w:line="600" w:lineRule="exact"/>
        <w:ind w:left="0" w:firstLineChars="200" w:firstLine="640"/>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（一）黔东特区革命委员会、苏维埃政府、红军指挥部等重要机构和枫香溪会议等重要会议的旧址；</w:t>
      </w:r>
    </w:p>
    <w:p>
      <w:pPr>
        <w:pStyle w:val="18"/>
        <w:keepNext w:val="0"/>
        <w:keepLines w:val="0"/>
        <w:pageBreakBefore w:val="0"/>
        <w:widowControl w:val="0"/>
        <w:kinsoku/>
        <w:wordWrap/>
        <w:overflowPunct/>
        <w:topLinePunct w:val="0"/>
        <w:autoSpaceDE/>
        <w:autoSpaceDN/>
        <w:bidi w:val="0"/>
        <w:adjustRightInd w:val="0"/>
        <w:snapToGrid w:val="0"/>
        <w:spacing w:line="600" w:lineRule="exact"/>
        <w:ind w:left="0" w:firstLineChars="200" w:firstLine="640"/>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（二）木黄会师等重要事件和困牛山、梵净山等重大战斗的发生地；</w:t>
      </w:r>
    </w:p>
    <w:p>
      <w:pPr>
        <w:pStyle w:val="18"/>
        <w:keepNext w:val="0"/>
        <w:keepLines w:val="0"/>
        <w:pageBreakBefore w:val="0"/>
        <w:widowControl w:val="0"/>
        <w:kinsoku/>
        <w:wordWrap/>
        <w:overflowPunct/>
        <w:topLinePunct w:val="0"/>
        <w:autoSpaceDE/>
        <w:autoSpaceDN/>
        <w:bidi w:val="0"/>
        <w:adjustRightInd w:val="0"/>
        <w:snapToGrid w:val="0"/>
        <w:spacing w:line="600" w:lineRule="exact"/>
        <w:ind w:left="0" w:firstLineChars="200" w:firstLine="640"/>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（三）周逸群、旷继勋等英雄烈士故居、旧居、活动地；</w:t>
      </w:r>
    </w:p>
    <w:p>
      <w:pPr>
        <w:pStyle w:val="18"/>
        <w:keepNext w:val="0"/>
        <w:keepLines w:val="0"/>
        <w:pageBreakBefore w:val="0"/>
        <w:widowControl w:val="0"/>
        <w:kinsoku/>
        <w:wordWrap/>
        <w:overflowPunct/>
        <w:topLinePunct w:val="0"/>
        <w:autoSpaceDE/>
        <w:autoSpaceDN/>
        <w:bidi w:val="0"/>
        <w:adjustRightInd w:val="0"/>
        <w:snapToGrid w:val="0"/>
        <w:spacing w:line="600" w:lineRule="exact"/>
        <w:ind w:left="0" w:firstLineChars="200" w:firstLine="640"/>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（四）烈士陵园、烈士墓地、纪念塑像、纪念碑（塔）等纪念设施；</w:t>
      </w:r>
    </w:p>
    <w:p>
      <w:pPr>
        <w:pStyle w:val="18"/>
        <w:keepNext w:val="0"/>
        <w:keepLines w:val="0"/>
        <w:pageBreakBefore w:val="0"/>
        <w:widowControl w:val="0"/>
        <w:kinsoku/>
        <w:wordWrap/>
        <w:overflowPunct/>
        <w:topLinePunct w:val="0"/>
        <w:autoSpaceDE/>
        <w:autoSpaceDN/>
        <w:bidi w:val="0"/>
        <w:adjustRightInd w:val="0"/>
        <w:snapToGrid w:val="0"/>
        <w:spacing w:line="600" w:lineRule="exact"/>
        <w:ind w:left="0" w:firstLineChars="200" w:firstLine="640"/>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（五）红军、游击队、地下党组织驻地房屋以及反映其活动的桥梁、标语、文献资料；</w:t>
      </w:r>
    </w:p>
    <w:p>
      <w:pPr>
        <w:pStyle w:val="18"/>
        <w:keepNext w:val="0"/>
        <w:keepLines w:val="0"/>
        <w:pageBreakBefore w:val="0"/>
        <w:widowControl w:val="0"/>
        <w:kinsoku/>
        <w:wordWrap/>
        <w:overflowPunct/>
        <w:topLinePunct w:val="0"/>
        <w:autoSpaceDE/>
        <w:autoSpaceDN/>
        <w:bidi w:val="0"/>
        <w:adjustRightInd w:val="0"/>
        <w:snapToGrid w:val="0"/>
        <w:spacing w:line="600" w:lineRule="exact"/>
        <w:ind w:left="0" w:firstLineChars="200" w:firstLine="640"/>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（六）纪念馆、展陈馆、博物馆和爱国主义教育基地等场馆；</w:t>
      </w:r>
    </w:p>
    <w:p>
      <w:pPr>
        <w:pStyle w:val="18"/>
        <w:keepNext w:val="0"/>
        <w:keepLines w:val="0"/>
        <w:pageBreakBefore w:val="0"/>
        <w:widowControl w:val="0"/>
        <w:kinsoku/>
        <w:wordWrap/>
        <w:overflowPunct/>
        <w:topLinePunct w:val="0"/>
        <w:autoSpaceDE/>
        <w:autoSpaceDN/>
        <w:bidi w:val="0"/>
        <w:adjustRightInd w:val="0"/>
        <w:snapToGrid w:val="0"/>
        <w:spacing w:line="600" w:lineRule="exact"/>
        <w:ind w:left="0" w:firstLineChars="200" w:firstLine="640"/>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（七）万山汞矿工业建筑群等展现建设、改革成就的代表性史迹；</w:t>
      </w:r>
    </w:p>
    <w:p>
      <w:pPr>
        <w:pStyle w:val="18"/>
        <w:keepNext w:val="0"/>
        <w:keepLines w:val="0"/>
        <w:pageBreakBefore w:val="0"/>
        <w:widowControl w:val="0"/>
        <w:kinsoku/>
        <w:wordWrap/>
        <w:overflowPunct/>
        <w:topLinePunct w:val="0"/>
        <w:autoSpaceDE/>
        <w:autoSpaceDN/>
        <w:bidi w:val="0"/>
        <w:adjustRightInd w:val="0"/>
        <w:snapToGrid w:val="0"/>
        <w:spacing w:line="600" w:lineRule="exact"/>
        <w:ind w:left="0" w:firstLineChars="200" w:firstLine="640"/>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（八）其他具有保护价值的红色遗址遗迹。</w:t>
      </w:r>
    </w:p>
    <w:p>
      <w:pPr>
        <w:pStyle w:val="22"/>
        <w:keepNext w:val="0"/>
        <w:keepLines w:val="0"/>
        <w:pageBreakBefore w:val="0"/>
        <w:widowControl w:val="0"/>
        <w:suppressLineNumbers w:val="0"/>
        <w:kinsoku/>
        <w:wordWrap/>
        <w:overflowPunct/>
        <w:topLinePunct w:val="0"/>
        <w:autoSpaceDE/>
        <w:autoSpaceDN/>
        <w:bidi w:val="0"/>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第三条  </w:t>
      </w:r>
      <w:r>
        <w:rPr>
          <w:rFonts w:ascii="仿宋_GB2312" w:eastAsia="仿宋_GB2312" w:cs="仿宋_GB2312" w:hint="eastAsia"/>
          <w:color w:val="auto"/>
          <w:spacing w:val="0"/>
          <w:kern w:val="2"/>
          <w:sz w:val="32"/>
          <w:szCs w:val="32"/>
          <w:lang w:val="en-US" w:eastAsia="zh-CN" w:bidi="ar-SA"/>
        </w:rPr>
        <w:t>红色遗址遗迹保护工作坚持保护第一、属地管理、依靠群众、传承利用的原则，保持红色遗址遗迹的历史真实性、风貌完整性和文化延续性。</w:t>
      </w:r>
    </w:p>
    <w:p>
      <w:pPr>
        <w:pStyle w:val="22"/>
        <w:keepNext w:val="0"/>
        <w:keepLines w:val="0"/>
        <w:pageBreakBefore w:val="0"/>
        <w:widowControl w:val="0"/>
        <w:suppressLineNumbers w:val="0"/>
        <w:kinsoku/>
        <w:wordWrap/>
        <w:overflowPunct/>
        <w:topLinePunct w:val="0"/>
        <w:autoSpaceDE/>
        <w:autoSpaceDN/>
        <w:bidi w:val="0"/>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第四条 </w:t>
      </w:r>
      <w:r>
        <w:rPr>
          <w:rFonts w:ascii="仿宋_GB2312" w:eastAsia="仿宋_GB2312" w:cs="仿宋_GB2312" w:hint="eastAsia"/>
          <w:color w:val="auto"/>
          <w:spacing w:val="0"/>
          <w:sz w:val="32"/>
          <w:szCs w:val="32"/>
          <w:lang w:val="en-US" w:eastAsia="zh-CN"/>
        </w:rPr>
        <w:t xml:space="preserve"> </w:t>
      </w:r>
      <w:r>
        <w:rPr>
          <w:rFonts w:ascii="仿宋_GB2312" w:eastAsia="仿宋_GB2312" w:cs="仿宋_GB2312" w:hint="eastAsia"/>
          <w:color w:val="auto"/>
          <w:spacing w:val="0"/>
          <w:kern w:val="2"/>
          <w:sz w:val="32"/>
          <w:szCs w:val="32"/>
          <w:lang w:val="en-US" w:eastAsia="zh-CN" w:bidi="ar-SA"/>
        </w:rPr>
        <w:t xml:space="preserve">市人民政府加强对红色遗址遗迹保护工作的组织领导，建立统筹协调机制，研究解决保护和利用的有关问题，并予以经费保障。 </w:t>
      </w:r>
    </w:p>
    <w:p>
      <w:pPr>
        <w:pStyle w:val="22"/>
        <w:keepNext w:val="0"/>
        <w:keepLines w:val="0"/>
        <w:pageBreakBefore w:val="0"/>
        <w:widowControl w:val="0"/>
        <w:suppressLineNumbers w:val="0"/>
        <w:kinsoku/>
        <w:wordWrap/>
        <w:overflowPunct/>
        <w:topLinePunct w:val="0"/>
        <w:autoSpaceDE/>
        <w:autoSpaceDN/>
        <w:bidi w:val="0"/>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县级人民政府是红色遗址遗迹保护管理工作的责任主体，负责红色遗址遗迹保护管理、传承利用、宣传教育等工作，加强保护工作机构建设、人员配备和经费保障。</w:t>
      </w:r>
    </w:p>
    <w:p>
      <w:pPr>
        <w:pStyle w:val="22"/>
        <w:keepNext w:val="0"/>
        <w:keepLines w:val="0"/>
        <w:pageBreakBefore w:val="0"/>
        <w:widowControl w:val="0"/>
        <w:suppressLineNumbers w:val="0"/>
        <w:kinsoku/>
        <w:wordWrap/>
        <w:overflowPunct/>
        <w:topLinePunct w:val="0"/>
        <w:autoSpaceDE/>
        <w:autoSpaceDN/>
        <w:bidi w:val="0"/>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乡镇人民政府、街道办事处履行属地管理职责，明确专（兼）职人员具体负责红色遗址遗迹保护管理工作；加强对红色遗址遗迹日常巡查，发现有安全隐患或者损坏情形的，及时采取措施，并向有关部门报告。</w:t>
      </w:r>
    </w:p>
    <w:p>
      <w:pPr>
        <w:pStyle w:val="22"/>
        <w:keepNext w:val="0"/>
        <w:keepLines w:val="0"/>
        <w:pageBreakBefore w:val="0"/>
        <w:widowControl w:val="0"/>
        <w:suppressLineNumbers w:val="0"/>
        <w:kinsoku/>
        <w:wordWrap/>
        <w:overflowPunct/>
        <w:topLinePunct w:val="0"/>
        <w:autoSpaceDE/>
        <w:autoSpaceDN/>
        <w:bidi w:val="0"/>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村（居）民委员会协助做好红色遗址遗迹保护管理工作，组织、引导村（居）民参与红色遗址遗迹保护和宣传。</w:t>
      </w:r>
    </w:p>
    <w:p>
      <w:pPr>
        <w:pStyle w:val="22"/>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第五条  </w:t>
      </w:r>
      <w:r>
        <w:rPr>
          <w:rFonts w:ascii="仿宋_GB2312" w:eastAsia="仿宋_GB2312" w:cs="仿宋_GB2312" w:hint="eastAsia"/>
          <w:color w:val="auto"/>
          <w:spacing w:val="0"/>
          <w:kern w:val="2"/>
          <w:sz w:val="32"/>
          <w:szCs w:val="32"/>
          <w:lang w:val="en-US" w:eastAsia="zh-CN" w:bidi="ar-SA"/>
        </w:rPr>
        <w:t>文化主管部门是红色遗址遗迹保护工作的主管部门，履行综合协调、调查认定、组织论证、监督指导等职责。</w:t>
      </w:r>
    </w:p>
    <w:p>
      <w:pPr>
        <w:pStyle w:val="22"/>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退役军人事务主管部门负责红色遗址遗迹中烈士纪念设施的保护管理工作。</w:t>
      </w:r>
    </w:p>
    <w:p>
      <w:pPr>
        <w:pStyle w:val="22"/>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住房城乡建设主管部门负责红色遗址遗迹中历史建筑的保护管理工作。</w:t>
      </w:r>
    </w:p>
    <w:p>
      <w:pPr>
        <w:pStyle w:val="22"/>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规划、教育、应急管理、档案等主管部门和党史研究机构按照各自职责，做好红色遗址遗迹保护、管理和利用有关工作。</w:t>
      </w:r>
    </w:p>
    <w:p>
      <w:pPr>
        <w:pStyle w:val="22"/>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第六条  </w:t>
      </w:r>
      <w:r>
        <w:rPr>
          <w:rFonts w:ascii="仿宋_GB2312" w:eastAsia="仿宋_GB2312" w:cs="仿宋_GB2312" w:hint="eastAsia"/>
          <w:color w:val="auto"/>
          <w:spacing w:val="0"/>
          <w:kern w:val="2"/>
          <w:sz w:val="32"/>
          <w:szCs w:val="32"/>
          <w:lang w:val="en-US" w:eastAsia="zh-CN" w:bidi="ar-SA"/>
        </w:rPr>
        <w:t>市人民政府文化主管部门设立由文物、党史、规划、建设、旅游、档案等方面专业人才组成的咨询专家库，为红色遗址遗迹保护、利用工作提供咨询、论证、评审和专业指导。</w:t>
      </w:r>
    </w:p>
    <w:p>
      <w:pPr>
        <w:pStyle w:val="22"/>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第七条</w:t>
      </w:r>
      <w:r>
        <w:rPr>
          <w:rFonts w:ascii="仿宋_GB2312" w:eastAsia="仿宋_GB2312" w:cs="仿宋_GB2312" w:hint="eastAsia"/>
          <w:color w:val="auto"/>
          <w:spacing w:val="0"/>
          <w:kern w:val="0"/>
          <w:sz w:val="32"/>
          <w:szCs w:val="32"/>
          <w:lang w:val="en-US" w:eastAsia="zh-CN"/>
        </w:rPr>
        <w:t xml:space="preserve">  </w:t>
      </w:r>
      <w:r>
        <w:rPr>
          <w:rFonts w:ascii="仿宋_GB2312" w:eastAsia="仿宋_GB2312" w:cs="仿宋_GB2312" w:hint="eastAsia"/>
          <w:color w:val="auto"/>
          <w:spacing w:val="0"/>
          <w:kern w:val="2"/>
          <w:sz w:val="32"/>
          <w:szCs w:val="32"/>
          <w:lang w:val="en-US" w:eastAsia="zh-CN" w:bidi="ar-SA"/>
        </w:rPr>
        <w:t>任何单位和个人都有依法保护红色遗址遗迹的义务，有权制止和检举破坏红色遗址遗迹的行为。</w:t>
      </w:r>
    </w:p>
    <w:p>
      <w:pPr>
        <w:pStyle w:val="22"/>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鼓励单位和个人通过捐赠、志愿服务和技术支持等方式，参与红色遗址遗迹保护工作。</w:t>
      </w:r>
    </w:p>
    <w:p>
      <w:pPr>
        <w:pStyle w:val="22"/>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对在红色遗址遗迹保护工作中做出突出成绩和重要贡献的单位或者个人，市、县级人民政府按照国家和省有关规定给予表彰和奖励。</w:t>
      </w:r>
    </w:p>
    <w:p>
      <w:pPr>
        <w:pStyle w:val="18"/>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eastAsia="黑体" w:cs="黑体"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第二章  保护管理</w:t>
      </w:r>
    </w:p>
    <w:p>
      <w:pPr>
        <w:pStyle w:val="18"/>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黑体" w:eastAsia="黑体" w:cs="黑体"/>
          <w:strike w:val="0"/>
          <w:dstrike/>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Chars="200" w:firstLine="640"/>
        <w:jc w:val="both"/>
        <w:textAlignment w:val="auto"/>
        <w:outlineLvl w:val="9"/>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第八条</w:t>
      </w:r>
      <w:r>
        <w:rPr>
          <w:rFonts w:ascii="仿宋_GB2312" w:eastAsia="仿宋_GB2312" w:cs="仿宋_GB2312" w:hint="eastAsia"/>
          <w:i w:val="0"/>
          <w:iCs w:val="0"/>
          <w:caps w:val="0"/>
          <w:smallCaps w:val="0"/>
          <w:color w:val="auto"/>
          <w:spacing w:val="0"/>
          <w:sz w:val="32"/>
          <w:szCs w:val="32"/>
          <w:shd w:val="clear" w:color="auto" w:fill="FFFFFF"/>
          <w:lang w:val="en-US" w:eastAsia="zh-CN"/>
        </w:rPr>
        <w:t xml:space="preserve">  </w:t>
      </w:r>
      <w:r>
        <w:rPr>
          <w:rFonts w:ascii="仿宋_GB2312" w:eastAsia="仿宋_GB2312" w:cs="仿宋_GB2312" w:hint="eastAsia"/>
          <w:color w:val="auto"/>
          <w:spacing w:val="0"/>
          <w:kern w:val="2"/>
          <w:sz w:val="32"/>
          <w:szCs w:val="32"/>
          <w:lang w:val="en-US" w:eastAsia="zh-CN" w:bidi="ar-SA"/>
        </w:rPr>
        <w:t>县级人民政府文化主管部门会同退役军人事务、住房城乡建设等主管部门和党史研究机构开展红色遗址遗迹调查工作，及时将新发现的红色遗址遗迹纳入保护建议名单，按照规定程序认定。</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Chars="200" w:firstLine="640"/>
        <w:jc w:val="both"/>
        <w:textAlignment w:val="auto"/>
        <w:outlineLvl w:val="9"/>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任何单位和个人发现可能属于红色遗址遗迹的，可以向县级人民政府文化主管部门提供有关依据、提出保护建议。</w:t>
      </w:r>
    </w:p>
    <w:p>
      <w:pPr>
        <w:pStyle w:val="34"/>
        <w:keepNext w:val="0"/>
        <w:keepLines w:val="0"/>
        <w:pageBreakBefore w:val="0"/>
        <w:widowControl w:val="0"/>
        <w:kinsoku/>
        <w:wordWrap/>
        <w:overflowPunct/>
        <w:topLinePunct w:val="0"/>
        <w:autoSpaceDE/>
        <w:autoSpaceDN/>
        <w:bidi w:val="0"/>
        <w:adjustRightInd w:val="0"/>
        <w:snapToGrid w:val="0"/>
        <w:spacing w:line="600" w:lineRule="exact"/>
        <w:ind w:leftChars="0" w:left="0" w:firstLineChars="200" w:firstLine="640"/>
        <w:textAlignment w:val="auto"/>
        <w:rPr>
          <w:rFonts w:ascii="仿宋_GB2312" w:eastAsia="仿宋_GB2312" w:cs="仿宋_GB2312" w:hint="eastAsia"/>
          <w:color w:val="auto"/>
          <w:spacing w:val="0"/>
          <w:kern w:val="2"/>
          <w:sz w:val="32"/>
          <w:szCs w:val="32"/>
          <w:lang w:val="en-US" w:eastAsia="zh-CN" w:bidi="ar-SA"/>
        </w:rPr>
      </w:pPr>
      <w:r>
        <w:rPr>
          <w:rFonts w:ascii="CESI黑体-GB2312" w:eastAsia="CESI黑体-GB2312" w:cs="CESI黑体-GB2312" w:hint="eastAsia"/>
          <w:color w:val="auto"/>
          <w:spacing w:val="0"/>
          <w:kern w:val="2"/>
          <w:sz w:val="32"/>
          <w:szCs w:val="32"/>
          <w:lang w:val="en-US" w:eastAsia="zh-CN" w:bidi="ar-SA"/>
        </w:rPr>
        <w:t xml:space="preserve">第九条  </w:t>
      </w:r>
      <w:r>
        <w:rPr>
          <w:rFonts w:ascii="仿宋_GB2312" w:eastAsia="仿宋_GB2312" w:cs="仿宋_GB2312" w:hint="eastAsia"/>
          <w:color w:val="auto"/>
          <w:spacing w:val="0"/>
          <w:kern w:val="2"/>
          <w:sz w:val="32"/>
          <w:szCs w:val="32"/>
          <w:lang w:val="en-US" w:eastAsia="zh-CN" w:bidi="ar-SA"/>
        </w:rPr>
        <w:t>县级人民政府文化、退役军人事务、住房城乡建设等主管部门应当建立信息共享机制，对符合条件的红色遗址遗迹，按照有关规定及时申报为相应级别的文物保护单位、烈士纪念设施、历史建筑。</w:t>
      </w:r>
    </w:p>
    <w:p>
      <w:pPr>
        <w:pStyle w:val="34"/>
        <w:keepNext w:val="0"/>
        <w:keepLines w:val="0"/>
        <w:pageBreakBefore w:val="0"/>
        <w:widowControl w:val="0"/>
        <w:kinsoku/>
        <w:wordWrap/>
        <w:overflowPunct/>
        <w:topLinePunct w:val="0"/>
        <w:autoSpaceDE/>
        <w:autoSpaceDN/>
        <w:bidi w:val="0"/>
        <w:adjustRightInd w:val="0"/>
        <w:snapToGrid w:val="0"/>
        <w:spacing w:line="600" w:lineRule="exact"/>
        <w:ind w:leftChars="0" w:left="0" w:firstLineChars="200" w:firstLine="640"/>
        <w:textAlignment w:val="auto"/>
        <w:rPr>
          <w:rFonts w:ascii="仿宋_GB2312" w:eastAsia="仿宋_GB2312" w:cs="仿宋_GB2312" w:hint="eastAsia"/>
          <w:color w:val="auto"/>
          <w:spacing w:val="0"/>
          <w:kern w:val="2"/>
          <w:sz w:val="32"/>
          <w:szCs w:val="32"/>
          <w:lang w:val="en-US" w:eastAsia="zh-CN" w:bidi="ar-SA"/>
        </w:rPr>
      </w:pPr>
      <w:r>
        <w:rPr>
          <w:rFonts w:ascii="CESI黑体-GB2312" w:eastAsia="CESI黑体-GB2312" w:cs="CESI黑体-GB2312" w:hint="eastAsia"/>
          <w:color w:val="auto"/>
          <w:spacing w:val="0"/>
          <w:kern w:val="2"/>
          <w:sz w:val="32"/>
          <w:szCs w:val="32"/>
          <w:lang w:val="en-US" w:eastAsia="zh-CN" w:bidi="ar-SA"/>
        </w:rPr>
        <w:t xml:space="preserve">第十条 </w:t>
      </w:r>
      <w:r>
        <w:rPr>
          <w:rFonts w:ascii="仿宋_GB2312" w:eastAsia="仿宋_GB2312" w:cs="仿宋_GB2312" w:hint="eastAsia"/>
          <w:color w:val="auto"/>
          <w:spacing w:val="0"/>
          <w:kern w:val="2"/>
          <w:sz w:val="32"/>
          <w:szCs w:val="32"/>
          <w:lang w:val="en-US" w:eastAsia="zh-CN" w:bidi="ar-SA"/>
        </w:rPr>
        <w:t xml:space="preserve"> 市人民政府文化主管部门组织编制红色遗址遗迹保护名录，并向社会公布。保护名录包括名称、地址、类型等内容。</w:t>
      </w:r>
    </w:p>
    <w:p>
      <w:pPr>
        <w:pStyle w:val="34"/>
        <w:keepNext w:val="0"/>
        <w:keepLines w:val="0"/>
        <w:pageBreakBefore w:val="0"/>
        <w:widowControl w:val="0"/>
        <w:kinsoku/>
        <w:wordWrap/>
        <w:overflowPunct/>
        <w:topLinePunct w:val="0"/>
        <w:autoSpaceDE/>
        <w:autoSpaceDN/>
        <w:bidi w:val="0"/>
        <w:adjustRightInd w:val="0"/>
        <w:snapToGrid w:val="0"/>
        <w:spacing w:line="600" w:lineRule="exact"/>
        <w:ind w:leftChars="0" w:left="0" w:firstLineChars="200" w:firstLine="640"/>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县级人民政府文化主管部门应当对列入保护名录的红色遗址遗迹建立电子档案数据库，载明红色遗址遗迹的名称、地址、类型、权属、历史价值、保护范围及建设控制地带等内容。</w:t>
      </w:r>
    </w:p>
    <w:p>
      <w:pPr>
        <w:pStyle w:val="22"/>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第十一条  </w:t>
      </w:r>
      <w:r>
        <w:rPr>
          <w:rFonts w:ascii="仿宋_GB2312" w:eastAsia="仿宋_GB2312" w:cs="仿宋_GB2312" w:hint="eastAsia"/>
          <w:color w:val="auto"/>
          <w:spacing w:val="0"/>
          <w:kern w:val="2"/>
          <w:sz w:val="32"/>
          <w:szCs w:val="32"/>
          <w:lang w:val="en-US" w:eastAsia="zh-CN" w:bidi="ar-SA"/>
        </w:rPr>
        <w:t>县级人民政府文化、退役军人事务、住房城乡建设主管部门应当对列入保护名录的红色遗址遗迹设置含有数字信息的保护标志。</w:t>
      </w:r>
    </w:p>
    <w:p>
      <w:pPr>
        <w:pStyle w:val="22"/>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保护标志内容包括红色遗址遗迹名称及简介、四至界限、认定机关、认定日期、责任人、巡查员等，其式样应当符合有关规定。</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第十二条  </w:t>
      </w:r>
      <w:r>
        <w:rPr>
          <w:rFonts w:ascii="仿宋_GB2312" w:eastAsia="仿宋_GB2312" w:cs="仿宋_GB2312" w:hint="eastAsia"/>
          <w:color w:val="auto"/>
          <w:spacing w:val="0"/>
          <w:kern w:val="2"/>
          <w:sz w:val="32"/>
          <w:szCs w:val="32"/>
          <w:lang w:val="en-US" w:eastAsia="zh-CN" w:bidi="ar-SA"/>
        </w:rPr>
        <w:t>红色遗址遗迹按照类型和形态特点实施保护：</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一）重要机构、重要会议旧址，英雄烈士故居、旧居，红军、游击队、地下党组织驻地房屋，桥梁，场馆及其他建（构）筑物，应当加强原有格局、形制、外观的保护，以及附属建筑、庭院、屋场等历史空间和生活设施的保护；</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（二）重要事件、重大战斗的发生地，应当加强建（构）筑物以及环境、景观特征的保护；</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（三）烈士墓地、烈士陵园、纪念塑像、纪念碑（塔）等纪念设施，应当加强原有墓碑、石雕、石刻的保护；</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right="0" w:firstLineChars="200" w:firstLine="640"/>
        <w:jc w:val="both"/>
        <w:textAlignment w:val="auto"/>
        <w:rPr>
          <w:rFonts w:ascii="黑体" w:eastAsia="黑体" w:cs="黑体"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（四）反映红军、游击队、地下党组织活动的标语、文献资料，应当根据存在形式、不同材质及制作方法开展专业保护。</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第十三条  </w:t>
      </w:r>
      <w:r>
        <w:rPr>
          <w:rFonts w:ascii="仿宋_GB2312" w:eastAsia="仿宋_GB2312" w:cs="仿宋_GB2312" w:hint="eastAsia"/>
          <w:color w:val="auto"/>
          <w:spacing w:val="0"/>
          <w:kern w:val="2"/>
          <w:sz w:val="32"/>
          <w:szCs w:val="32"/>
          <w:lang w:val="en-US" w:eastAsia="zh-CN" w:bidi="ar-SA"/>
        </w:rPr>
        <w:t>县级人民政府文化主管部门会同规划、退役军人事务、住房城乡建设等主管部门及乡镇人民政府、街道办事处，根据红色遗址遗迹保护需要和现状，按照程序划定必要的保护范围和建设控制地带，报县级人民政府批准后予以公布。</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红色遗址遗迹实行原址保护。建设项目选址应当避让红色遗址遗迹保护范围和建设控制地带，确因公共利益需要进行建设不能避让的，应当依法办理有关审批手续。</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重要事件和重大战斗等发生地，不得迁移。</w:t>
      </w:r>
    </w:p>
    <w:p>
      <w:pPr>
        <w:pStyle w:val="21"/>
        <w:keepNext w:val="0"/>
        <w:keepLines w:val="0"/>
        <w:pageBreakBefore w:val="0"/>
        <w:widowControl w:val="0"/>
        <w:kinsoku/>
        <w:wordWrap/>
        <w:overflowPunct/>
        <w:topLinePunct w:val="0"/>
        <w:autoSpaceDE/>
        <w:autoSpaceDN/>
        <w:bidi w:val="0"/>
        <w:spacing w:line="600" w:lineRule="exact"/>
        <w:ind w:leftChars="0" w:left="0" w:firstLineChars="200" w:firstLine="640"/>
        <w:rPr>
          <w:rFonts w:ascii="仿宋_GB2312" w:eastAsia="仿宋_GB2312" w:cs="仿宋_GB2312" w:hint="eastAsia"/>
          <w:color w:val="auto"/>
          <w:spacing w:val="0"/>
          <w:kern w:val="2"/>
          <w:sz w:val="32"/>
          <w:szCs w:val="32"/>
          <w:lang w:val="en-US" w:eastAsia="zh-CN" w:bidi="ar-SA"/>
        </w:rPr>
      </w:pPr>
      <w:r>
        <w:rPr>
          <w:rFonts w:ascii="黑体" w:eastAsia="黑体" w:cs="黑体" w:hint="eastAsia"/>
          <w:b w:val="0"/>
          <w:bCs w:val="0"/>
          <w:color w:val="auto"/>
          <w:spacing w:val="0"/>
          <w:kern w:val="21"/>
          <w:sz w:val="32"/>
          <w:szCs w:val="32"/>
          <w:shd w:val="clear" w:color="auto" w:fill="FFFFFF"/>
          <w:lang w:eastAsia="zh-CN"/>
        </w:rPr>
        <w:t>第十四条</w:t>
      </w:r>
      <w:r>
        <w:rPr>
          <w:rFonts w:ascii="Times New Roman" w:eastAsia="仿宋_GB2312" w:cs="Times New Roman" w:hAnsi="Times New Roman"/>
          <w:b w:val="0"/>
          <w:bCs w:val="0"/>
          <w:color w:val="auto"/>
          <w:spacing w:val="0"/>
          <w:kern w:val="21"/>
          <w:sz w:val="32"/>
          <w:szCs w:val="32"/>
          <w:shd w:val="clear" w:color="auto" w:fill="FFFFFF"/>
          <w:lang w:eastAsia="zh-CN"/>
        </w:rPr>
        <w:t xml:space="preserve"> </w:t>
      </w:r>
      <w:r>
        <w:rPr>
          <w:rFonts w:ascii="黑体" w:eastAsia="黑体" w:cs="黑体" w:hint="eastAsia"/>
          <w:b w:val="0"/>
          <w:bCs w:val="0"/>
          <w:color w:val="auto"/>
          <w:spacing w:val="0"/>
          <w:kern w:val="21"/>
          <w:sz w:val="32"/>
          <w:szCs w:val="32"/>
          <w:shd w:val="clear" w:color="auto" w:fill="FFFFFF"/>
          <w:lang w:val="en-US" w:eastAsia="zh-CN"/>
        </w:rPr>
        <w:t xml:space="preserve"> </w:t>
      </w:r>
      <w:r>
        <w:rPr>
          <w:rFonts w:ascii="仿宋_GB2312" w:eastAsia="仿宋_GB2312" w:cs="仿宋_GB2312" w:hint="eastAsia"/>
          <w:color w:val="auto"/>
          <w:spacing w:val="0"/>
          <w:kern w:val="2"/>
          <w:sz w:val="32"/>
          <w:szCs w:val="32"/>
          <w:lang w:val="en-US" w:eastAsia="zh-CN" w:bidi="ar-SA"/>
        </w:rPr>
        <w:t>县级人民政府有关主管部门应当建立红色遗址遗迹保护县级保护责任制，与保护责任人签订保护责任书，明确保护责任人及其职责。</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列入保护名录的红色遗址遗迹保护责任人按照下列方式确定：</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（一）国家所有的，其使用人或者管理人为保护责任人；</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（二）集体所有的，该集体组织为保护责任人；</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（三）个人所有的，其所有人和使用人为保护责任人。</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第十五条  </w:t>
      </w:r>
      <w:r>
        <w:rPr>
          <w:rFonts w:ascii="仿宋_GB2312" w:eastAsia="仿宋_GB2312" w:cs="仿宋_GB2312" w:hint="eastAsia"/>
          <w:color w:val="auto"/>
          <w:spacing w:val="0"/>
          <w:kern w:val="2"/>
          <w:sz w:val="32"/>
          <w:szCs w:val="32"/>
          <w:lang w:val="en-US" w:eastAsia="zh-CN" w:bidi="ar-SA"/>
        </w:rPr>
        <w:t>保护责任人应当做好红色遗址遗迹日常维护和安全防护，发现问题和隐患及时向县级人民政府有关主管部门或者所在地乡镇人民政府、街道办事处报告。</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县级人民政府文化、退役军人事务、住房城乡建设等主管部门应当为保护责任人提供技术指导、安全培训，提高保护责任人的保护管理能力。</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第十六条</w:t>
      </w:r>
      <w:r>
        <w:rPr>
          <w:rFonts w:cs="仿宋_GB2312" w:hint="eastAsia"/>
          <w:color w:val="auto"/>
          <w:spacing w:val="0"/>
          <w:kern w:val="2"/>
          <w:sz w:val="32"/>
          <w:szCs w:val="32"/>
          <w:lang w:val="en-US" w:eastAsia="zh-CN" w:bidi="ar-SA"/>
        </w:rPr>
        <w:t xml:space="preserve">  </w:t>
      </w:r>
      <w:r>
        <w:rPr>
          <w:rFonts w:ascii="仿宋_GB2312" w:eastAsia="仿宋_GB2312" w:cs="仿宋_GB2312" w:hint="eastAsia"/>
          <w:color w:val="auto"/>
          <w:spacing w:val="0"/>
          <w:kern w:val="2"/>
          <w:sz w:val="32"/>
          <w:szCs w:val="32"/>
          <w:lang w:val="en-US" w:eastAsia="zh-CN" w:bidi="ar-SA"/>
        </w:rPr>
        <w:t>因保护红色遗址遗迹导致所有人、使用人、管理人合法权益受到损害的，应当依法给予相应补偿。</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县级人民政府应当对集体和个人所有的红色遗址遗迹保护责任人给予适当经费补助。具体补助办法由市人民政府制定。</w:t>
      </w:r>
    </w:p>
    <w:p>
      <w:pPr>
        <w:keepNext w:val="0"/>
        <w:keepLines w:val="0"/>
        <w:pageBreakBefore w:val="0"/>
        <w:widowControl w:val="0"/>
        <w:kinsoku/>
        <w:wordWrap/>
        <w:overflowPunct/>
        <w:topLinePunct w:val="0"/>
        <w:autoSpaceDE/>
        <w:autoSpaceDN/>
        <w:bidi w:val="0"/>
        <w:spacing w:line="600" w:lineRule="exact"/>
        <w:ind w:firstLineChars="200" w:firstLine="640"/>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w w:val="100"/>
          <w:sz w:val="32"/>
          <w:szCs w:val="32"/>
          <w:lang w:val="en-US" w:eastAsia="zh-CN"/>
        </w:rPr>
        <w:t xml:space="preserve">第十七条 </w:t>
      </w:r>
      <w:r>
        <w:rPr>
          <w:rFonts w:ascii="仿宋_GB2312" w:eastAsia="仿宋_GB2312" w:cs="仿宋_GB2312" w:hint="eastAsia"/>
          <w:color w:val="auto"/>
          <w:spacing w:val="0"/>
          <w:kern w:val="2"/>
          <w:sz w:val="32"/>
          <w:szCs w:val="32"/>
          <w:lang w:val="en-US" w:eastAsia="zh-CN" w:bidi="ar-SA"/>
        </w:rPr>
        <w:t xml:space="preserve"> 红色遗址遗迹由保护责任人负责修缮。集体和个人所有的红色遗址遗迹保护责任人不具备修缮能力的，县级人民政府可以给予帮助或者通过产权置换、购买等方式进行保护。</w:t>
      </w:r>
    </w:p>
    <w:p>
      <w:pPr>
        <w:keepNext w:val="0"/>
        <w:keepLines w:val="0"/>
        <w:pageBreakBefore w:val="0"/>
        <w:widowControl w:val="0"/>
        <w:kinsoku/>
        <w:wordWrap/>
        <w:overflowPunct/>
        <w:topLinePunct w:val="0"/>
        <w:autoSpaceDE/>
        <w:autoSpaceDN/>
        <w:bidi w:val="0"/>
        <w:spacing w:line="600" w:lineRule="exact"/>
        <w:ind w:firstLineChars="200" w:firstLine="640"/>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w w:val="100"/>
          <w:sz w:val="32"/>
          <w:szCs w:val="32"/>
          <w:lang w:val="en-US" w:eastAsia="zh-CN"/>
        </w:rPr>
        <w:t xml:space="preserve">第十八条 </w:t>
      </w:r>
      <w:r>
        <w:rPr>
          <w:rFonts w:ascii="仿宋_GB2312" w:eastAsia="仿宋_GB2312" w:cs="仿宋_GB2312" w:hint="eastAsia"/>
          <w:color w:val="auto"/>
          <w:spacing w:val="0"/>
          <w:w w:val="100"/>
          <w:sz w:val="32"/>
          <w:szCs w:val="32"/>
          <w:lang w:val="en-US" w:eastAsia="zh-CN"/>
        </w:rPr>
        <w:t xml:space="preserve"> </w:t>
      </w:r>
      <w:r>
        <w:rPr>
          <w:rFonts w:ascii="仿宋_GB2312" w:eastAsia="仿宋_GB2312" w:cs="仿宋_GB2312" w:hint="eastAsia"/>
          <w:color w:val="auto"/>
          <w:spacing w:val="0"/>
          <w:kern w:val="2"/>
          <w:sz w:val="32"/>
          <w:szCs w:val="32"/>
          <w:lang w:val="en-US" w:eastAsia="zh-CN" w:bidi="ar-SA"/>
        </w:rPr>
        <w:t>红色遗址遗迹修缮应当制定方案，并依法办理有关审批手续。</w:t>
      </w:r>
    </w:p>
    <w:p>
      <w:pPr>
        <w:keepNext w:val="0"/>
        <w:keepLines w:val="0"/>
        <w:pageBreakBefore w:val="0"/>
        <w:widowControl w:val="0"/>
        <w:kinsoku/>
        <w:wordWrap/>
        <w:overflowPunct/>
        <w:topLinePunct w:val="0"/>
        <w:autoSpaceDE/>
        <w:autoSpaceDN/>
        <w:bidi w:val="0"/>
        <w:spacing w:line="600" w:lineRule="exact"/>
        <w:ind w:firstLineChars="200" w:firstLine="640"/>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不可移动红色遗址遗迹的修缮应当遵循不改变原状、最小干预的原则，不得改变、损毁其主体结构及其附属设施，不得破坏其完整性和历史风貌。</w:t>
      </w:r>
    </w:p>
    <w:p>
      <w:pPr>
        <w:keepNext w:val="0"/>
        <w:keepLines w:val="0"/>
        <w:pageBreakBefore w:val="0"/>
        <w:widowControl w:val="0"/>
        <w:kinsoku/>
        <w:wordWrap/>
        <w:overflowPunct/>
        <w:topLinePunct w:val="0"/>
        <w:autoSpaceDE/>
        <w:autoSpaceDN/>
        <w:bidi w:val="0"/>
        <w:spacing w:line="600" w:lineRule="exact"/>
        <w:ind w:firstLineChars="200" w:firstLine="640"/>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可移动红色遗迹的修缮，应当符合有关技术规范要求。</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val="0"/>
        <w:spacing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第十九条  </w:t>
      </w:r>
      <w:r>
        <w:rPr>
          <w:rFonts w:ascii="仿宋_GB2312" w:eastAsia="仿宋_GB2312" w:cs="仿宋_GB2312" w:hint="eastAsia"/>
          <w:color w:val="auto"/>
          <w:spacing w:val="0"/>
          <w:kern w:val="2"/>
          <w:sz w:val="32"/>
          <w:szCs w:val="32"/>
          <w:lang w:val="en-US" w:eastAsia="zh-CN" w:bidi="ar-SA"/>
        </w:rPr>
        <w:t>在红色遗址遗迹建设控制地带内禁止下列行为：</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val="0"/>
        <w:spacing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（一）建设污染红色遗址遗迹及其环境的设施；</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val="0"/>
        <w:spacing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（二）取土、采石、采砂、开矿等危及红色遗址遗迹安全的活动；</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val="0"/>
        <w:spacing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（三）生产、储存、使用易燃易爆、易腐蚀等危及红色遗址遗迹安全的物品；</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val="0"/>
        <w:spacing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（四）其他危及红色遗址遗迹安全的行为。</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val="0"/>
        <w:spacing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第二十条  </w:t>
      </w:r>
      <w:r>
        <w:rPr>
          <w:rFonts w:ascii="仿宋_GB2312" w:eastAsia="仿宋_GB2312" w:cs="仿宋_GB2312" w:hint="eastAsia"/>
          <w:color w:val="auto"/>
          <w:spacing w:val="0"/>
          <w:kern w:val="2"/>
          <w:sz w:val="32"/>
          <w:szCs w:val="32"/>
          <w:lang w:val="en-US" w:eastAsia="zh-CN" w:bidi="ar-SA"/>
        </w:rPr>
        <w:t>在红色遗址遗迹保护范围内，除适用本条例第十九条规定以外，还禁止下列行为：</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val="0"/>
        <w:spacing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（一）擅自改建、迁移、拆除红色遗址遗迹；</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val="0"/>
        <w:spacing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（二）在红色遗址遗迹本体及其附属设施上刻划、涂污或者张贴广告；</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val="0"/>
        <w:spacing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（三）损坏或者擅自移动、拆除红色遗址遗迹保护标志、保护设施；</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val="0"/>
        <w:spacing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（四）违规使用明火、燃放烟花爆竹；</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val="0"/>
        <w:spacing w:line="600" w:lineRule="exact"/>
        <w:ind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（五）堆放垃圾和废弃物。</w:t>
      </w:r>
    </w:p>
    <w:p>
      <w:pPr>
        <w:pStyle w:val="18"/>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eastAsia="黑体" w:cs="黑体" w:hint="eastAsia"/>
          <w:color w:val="auto"/>
          <w:spacing w:val="0"/>
          <w:kern w:val="2"/>
          <w:sz w:val="32"/>
          <w:szCs w:val="32"/>
          <w:lang w:val="en-US" w:eastAsia="zh-CN" w:bidi="ar-SA"/>
        </w:rPr>
      </w:pPr>
    </w:p>
    <w:p>
      <w:pPr>
        <w:pStyle w:val="18"/>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eastAsia="黑体" w:cs="黑体"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第三章  传承利用</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right="0"/>
        <w:jc w:val="both"/>
        <w:textAlignment w:val="auto"/>
        <w:rPr>
          <w:rFonts w:ascii="黑体" w:eastAsia="黑体" w:cs="黑体" w:hint="eastAsia"/>
          <w:color w:val="auto"/>
          <w:spacing w:val="0"/>
          <w:kern w:val="2"/>
          <w:sz w:val="32"/>
          <w:szCs w:val="32"/>
          <w:lang w:val="en-US" w:eastAsia="zh-CN" w:bidi="ar-SA"/>
        </w:rPr>
      </w:pP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第二十一条  </w:t>
      </w:r>
      <w:r>
        <w:rPr>
          <w:rFonts w:ascii="仿宋_GB2312" w:eastAsia="仿宋_GB2312" w:cs="仿宋_GB2312" w:hint="eastAsia"/>
          <w:color w:val="auto"/>
          <w:spacing w:val="0"/>
          <w:kern w:val="2"/>
          <w:sz w:val="32"/>
          <w:szCs w:val="32"/>
          <w:lang w:val="en-US" w:eastAsia="zh-CN" w:bidi="ar-SA"/>
        </w:rPr>
        <w:t>各级人民政府应当全方位、多渠道、多形式加强对红色遗址遗迹保护的宣传，增强全民保护意识，营造全社会关注、支持红色遗址遗迹保护工作的良好氛围。</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第</w:t>
      </w:r>
      <w:r>
        <w:rPr>
          <w:rFonts w:ascii="黑体" w:eastAsia="黑体" w:cs="黑体" w:hint="eastAsia"/>
          <w:strike w:val="0"/>
          <w:dstrike w:val="0"/>
          <w:color w:val="auto"/>
          <w:spacing w:val="0"/>
          <w:kern w:val="2"/>
          <w:sz w:val="32"/>
          <w:szCs w:val="32"/>
          <w:lang w:val="en-US" w:eastAsia="zh-CN" w:bidi="ar-SA"/>
        </w:rPr>
        <w:t>二十二</w:t>
      </w:r>
      <w:r>
        <w:rPr>
          <w:rFonts w:ascii="黑体" w:eastAsia="黑体" w:cs="黑体" w:hint="eastAsia"/>
          <w:color w:val="auto"/>
          <w:spacing w:val="0"/>
          <w:kern w:val="2"/>
          <w:sz w:val="32"/>
          <w:szCs w:val="32"/>
          <w:lang w:val="en-US" w:eastAsia="zh-CN" w:bidi="ar-SA"/>
        </w:rPr>
        <w:t xml:space="preserve">条  </w:t>
      </w:r>
      <w:r>
        <w:rPr>
          <w:rFonts w:ascii="仿宋_GB2312" w:eastAsia="仿宋_GB2312" w:cs="仿宋_GB2312" w:hint="eastAsia"/>
          <w:color w:val="auto"/>
          <w:spacing w:val="0"/>
          <w:kern w:val="2"/>
          <w:sz w:val="32"/>
          <w:szCs w:val="32"/>
          <w:lang w:val="en-US" w:eastAsia="zh-CN" w:bidi="ar-SA"/>
        </w:rPr>
        <w:t>广播、电视、报刊、网络等媒体应当加强对红色遗址遗迹保护的宣传，讲好红色故事，传播红色文化，弘扬革命精神。</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strike w:val="0"/>
          <w:dstrike w:val="0"/>
          <w:color w:val="auto"/>
          <w:spacing w:val="0"/>
          <w:kern w:val="2"/>
          <w:sz w:val="32"/>
          <w:szCs w:val="32"/>
          <w:lang w:val="en-US" w:eastAsia="zh-CN" w:bidi="ar-SA"/>
        </w:rPr>
        <w:t xml:space="preserve">第二十三条  </w:t>
      </w:r>
      <w:r>
        <w:rPr>
          <w:rFonts w:ascii="仿宋_GB2312" w:eastAsia="仿宋_GB2312" w:cs="仿宋_GB2312" w:hint="eastAsia"/>
          <w:color w:val="auto"/>
          <w:spacing w:val="0"/>
          <w:kern w:val="2"/>
          <w:sz w:val="32"/>
          <w:szCs w:val="32"/>
          <w:lang w:val="en-US" w:eastAsia="zh-CN" w:bidi="ar-SA"/>
        </w:rPr>
        <w:t>市、县级人民政府应当在确保红色遗址遗迹安全和不破坏历史风貌的前提下，依托长征国家文化公园，推动红色文化与旅游产业深度融合，发展红色文化旅游产业。</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鼓励、支持单位和个人采取收购、租赁等方式对集体和个人所有的红色遗址遗迹进行活化利用。</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禁止歪曲、丑化、亵渎、否定红色遗址遗迹及其所承载的历史和革命精神。</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第二十四条  </w:t>
      </w:r>
      <w:r>
        <w:rPr>
          <w:rFonts w:ascii="仿宋_GB2312" w:eastAsia="仿宋_GB2312" w:cs="仿宋_GB2312" w:hint="eastAsia"/>
          <w:color w:val="auto"/>
          <w:spacing w:val="0"/>
          <w:kern w:val="2"/>
          <w:sz w:val="32"/>
          <w:szCs w:val="32"/>
          <w:lang w:val="en-US" w:eastAsia="zh-CN" w:bidi="ar-SA"/>
        </w:rPr>
        <w:t>文化主管部门会同有关部门加强对红色遗址遗迹及其所承载历史的研究，挖掘、展示其精神内涵和历史价值。</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鼓励高等院校、科研机构等单位和个人开展红色遗址遗迹学术研究，创作有关文学、影视、音乐等文艺作品，开发红色创意产品，促进红色文化传播。</w:t>
      </w:r>
    </w:p>
    <w:p>
      <w:pPr>
        <w:pStyle w:val="21"/>
        <w:keepNext w:val="0"/>
        <w:keepLines w:val="0"/>
        <w:pageBreakBefore w:val="0"/>
        <w:widowControl w:val="0"/>
        <w:kinsoku/>
        <w:wordWrap/>
        <w:overflowPunct/>
        <w:topLinePunct w:val="0"/>
        <w:autoSpaceDE/>
        <w:autoSpaceDN/>
        <w:bidi w:val="0"/>
        <w:spacing w:line="600" w:lineRule="exact"/>
        <w:ind w:leftChars="0" w:lef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第二十五条  </w:t>
      </w:r>
      <w:r>
        <w:rPr>
          <w:rFonts w:ascii="仿宋_GB2312" w:eastAsia="仿宋_GB2312" w:cs="仿宋_GB2312" w:hint="eastAsia"/>
          <w:color w:val="auto"/>
          <w:spacing w:val="0"/>
          <w:kern w:val="2"/>
          <w:sz w:val="32"/>
          <w:szCs w:val="32"/>
          <w:lang w:val="en-US" w:eastAsia="zh-CN" w:bidi="ar-SA"/>
        </w:rPr>
        <w:t>纪念馆、展陈馆、博物馆、爱国主义教育基地等场馆应当按照有关规定向社会公众开放，并运用现代科技手段展览展示红色革命历史，增强生动性和体验感。</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展览展示的内容和讲解词应当征求有关部门意见，并按照规定程序报批，确保其准确、完整和权威。</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鼓励英雄模范、退役军人、烈士亲属等通过讲述亲身经历、宣讲英烈事迹等方式参与红色遗址遗迹保护传承活动。</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鼓励利用红色遗址遗迹的建（构）筑物开设纪念馆、展陈馆、博物馆、传统作坊等，按照有关程序报批后进行活化利用。</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第二十六条 </w:t>
      </w:r>
      <w:r>
        <w:rPr>
          <w:rFonts w:ascii="仿宋_GB2312" w:eastAsia="仿宋_GB2312" w:cs="仿宋_GB2312" w:hint="eastAsia"/>
          <w:color w:val="auto"/>
          <w:spacing w:val="0"/>
          <w:kern w:val="2"/>
          <w:sz w:val="32"/>
          <w:szCs w:val="32"/>
          <w:lang w:val="en-US" w:eastAsia="zh-CN" w:bidi="ar-SA"/>
        </w:rPr>
        <w:t xml:space="preserve"> 国家机关、企业事业单位和社会组织应当利用红色遗址遗迹开展爱国主义和革命传统教育。</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600" w:lineRule="exact"/>
        <w:ind w:left="0" w:right="0" w:firstLineChars="200" w:firstLine="640"/>
        <w:jc w:val="both"/>
        <w:textAlignment w:val="auto"/>
        <w:rPr>
          <w:rFonts w:ascii="仿宋_GB2312" w:eastAsia="仿宋_GB2312" w:cs="仿宋_GB2312"/>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各级各类学校、干部教育机构应当组织师生、培训学员到红色遗址遗迹开展研学活动。</w:t>
      </w:r>
    </w:p>
    <w:p>
      <w:pPr>
        <w:pStyle w:val="18"/>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eastAsia="黑体" w:cs="黑体" w:hint="eastAsia"/>
          <w:color w:val="auto"/>
          <w:spacing w:val="0"/>
          <w:kern w:val="2"/>
          <w:sz w:val="32"/>
          <w:szCs w:val="32"/>
          <w:lang w:val="en-US" w:eastAsia="zh-CN" w:bidi="ar-SA"/>
        </w:rPr>
      </w:pPr>
    </w:p>
    <w:p>
      <w:pPr>
        <w:pStyle w:val="18"/>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eastAsia="黑体" w:cs="黑体"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第四章  法律责任</w:t>
      </w:r>
    </w:p>
    <w:p>
      <w:pPr>
        <w:keepNext w:val="0"/>
        <w:keepLines w:val="0"/>
        <w:pageBreakBefore w:val="0"/>
        <w:widowControl w:val="0"/>
        <w:kinsoku/>
        <w:wordWrap/>
        <w:overflowPunct/>
        <w:topLinePunct w:val="0"/>
        <w:autoSpaceDE/>
        <w:autoSpaceDN/>
        <w:bidi w:val="0"/>
        <w:spacing w:line="600" w:lineRule="exact"/>
        <w:ind w:firstLineChars="200" w:firstLine="640"/>
        <w:textAlignment w:val="auto"/>
        <w:rPr>
          <w:rFonts w:ascii="黑体" w:eastAsia="黑体" w:cs="黑体" w:hint="eastAsia"/>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spacing w:line="600" w:lineRule="exact"/>
        <w:ind w:firstLineChars="200" w:firstLine="640"/>
        <w:textAlignment w:val="auto"/>
        <w:rPr>
          <w:rFonts w:ascii="黑体" w:eastAsia="黑体" w:cs="黑体"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第二十七条  </w:t>
      </w:r>
      <w:r>
        <w:rPr>
          <w:rFonts w:ascii="仿宋_GB2312" w:eastAsia="仿宋_GB2312" w:cs="仿宋_GB2312" w:hint="eastAsia"/>
          <w:color w:val="auto"/>
          <w:spacing w:val="0"/>
          <w:kern w:val="2"/>
          <w:sz w:val="32"/>
          <w:szCs w:val="32"/>
          <w:lang w:val="en-US" w:eastAsia="zh-CN" w:bidi="ar-SA"/>
        </w:rPr>
        <w:t>违反本条例第十八条第二款规定，改变、损毁红色遗址遗迹主体结构及其附属设施的，或者破坏红色遗址遗迹完整性和历史风貌的，由县级人民政府文化、退役军人事务、规划主管部门按照各自职责责令停止违法行为、限期恢复原状或者采取其他补救措施；造成严重后果的，处以5万元以上50万元以下罚款；情节严重的，由原发证机关依法处理。</w:t>
      </w:r>
    </w:p>
    <w:p>
      <w:pPr>
        <w:keepNext w:val="0"/>
        <w:keepLines w:val="0"/>
        <w:pageBreakBefore w:val="0"/>
        <w:widowControl w:val="0"/>
        <w:kinsoku/>
        <w:wordWrap/>
        <w:overflowPunct/>
        <w:topLinePunct w:val="0"/>
        <w:autoSpaceDE/>
        <w:autoSpaceDN/>
        <w:bidi w:val="0"/>
        <w:spacing w:line="600" w:lineRule="exact"/>
        <w:ind w:firstLineChars="200" w:firstLine="640"/>
        <w:textAlignment w:val="auto"/>
        <w:rPr>
          <w:rFonts w:ascii="黑体" w:eastAsia="黑体" w:cs="黑体"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第二十八条  </w:t>
      </w:r>
      <w:r>
        <w:rPr>
          <w:rFonts w:ascii="仿宋_GB2312" w:eastAsia="仿宋_GB2312" w:cs="仿宋_GB2312" w:hint="eastAsia"/>
          <w:color w:val="auto"/>
          <w:spacing w:val="0"/>
          <w:kern w:val="2"/>
          <w:sz w:val="32"/>
          <w:szCs w:val="32"/>
          <w:lang w:val="en-US" w:eastAsia="zh-CN" w:bidi="ar-SA"/>
        </w:rPr>
        <w:t>违反本条例第十九条第二项规定的，由县级人民政府文化、退役军人事务、规划主管部门按照各自职责责令停止违法行为、限期恢复原状或者采取其他补救措施；造成严重后果的，处以5万元以上50万元以下罚款；情节严重的，由原发证机关依法处理。</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第二十九条  </w:t>
      </w:r>
      <w:r>
        <w:rPr>
          <w:rFonts w:ascii="仿宋_GB2312" w:eastAsia="仿宋_GB2312" w:cs="仿宋_GB2312" w:hint="eastAsia"/>
          <w:color w:val="auto"/>
          <w:spacing w:val="0"/>
          <w:kern w:val="2"/>
          <w:sz w:val="32"/>
          <w:szCs w:val="32"/>
          <w:lang w:val="en-US" w:eastAsia="zh-CN" w:bidi="ar-SA"/>
        </w:rPr>
        <w:t>违反本条例第二十条规定的，按照下列规定给予处罚：</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（一）违反第一项规定的，由县级人民政府文化、退役军人事务、规划主管部门责令改正；造成严重后果的，处以5万元以上50万元以下罚款；情节严重的，由原发证机关依法处理；</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（二）违反第二项规定，尚不严重的，由县级人民政府公安机关或者有关主管部门给予警告，可以并处100元以上200元以下罚款；造成严重后果的，依法予以处理；</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（三）违反第三项规定的，由县级人民政府公安机关责令限期改正或者恢复原状，可以并处100元以上200元以下罚款；</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仿宋_GB2312" w:eastAsia="仿宋_GB2312" w:cs="仿宋_GB2312" w:hint="eastAsia"/>
          <w:color w:val="auto"/>
          <w:spacing w:val="0"/>
          <w:kern w:val="2"/>
          <w:sz w:val="32"/>
          <w:szCs w:val="32"/>
          <w:lang w:val="en-US" w:eastAsia="zh-CN" w:bidi="ar-SA"/>
        </w:rPr>
        <w:t>（四）违反第四项规定，违规使用明火的，由县级人民政府消防救援机构处以警告；拒不改正的，处以500元以下罚款。违规燃放烟花爆竹的，由县级人民政府公安机关责令停止燃放，处以200元以上500元以下罚款。</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jc w:val="both"/>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第三十条  </w:t>
      </w:r>
      <w:r>
        <w:rPr>
          <w:rFonts w:ascii="仿宋_GB2312" w:eastAsia="仿宋_GB2312" w:cs="仿宋_GB2312" w:hint="eastAsia"/>
          <w:color w:val="auto"/>
          <w:spacing w:val="0"/>
          <w:kern w:val="2"/>
          <w:sz w:val="32"/>
          <w:szCs w:val="32"/>
          <w:lang w:val="en-US" w:eastAsia="zh-CN" w:bidi="ar-SA"/>
        </w:rPr>
        <w:t>违反本条例第二十三条第三款规定的，由县级人民政府文化或者退役军人事务等主管部门给予批评教育、责令改正；有违反治安管理行为的，由县级人民政府公安机关依法给予处罚。</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jc w:val="both"/>
        <w:textAlignment w:val="auto"/>
        <w:rPr>
          <w:rFonts w:ascii="仿宋_GB2312" w:eastAsia="仿宋_GB2312" w:cs="仿宋_GB2312" w:hint="eastAsia"/>
          <w:color w:val="auto"/>
          <w:spacing w:val="0"/>
          <w:sz w:val="32"/>
          <w:szCs w:val="32"/>
          <w:lang w:eastAsia="zh-CN"/>
        </w:rPr>
      </w:pPr>
      <w:r>
        <w:rPr>
          <w:rFonts w:ascii="黑体" w:eastAsia="黑体" w:cs="黑体" w:hint="eastAsia"/>
          <w:color w:val="auto"/>
          <w:spacing w:val="0"/>
          <w:kern w:val="2"/>
          <w:sz w:val="32"/>
          <w:szCs w:val="32"/>
          <w:lang w:val="en-US" w:eastAsia="zh-CN" w:bidi="ar-SA"/>
        </w:rPr>
        <w:t xml:space="preserve">第三十一条  </w:t>
      </w:r>
      <w:r>
        <w:rPr>
          <w:rFonts w:ascii="仿宋_GB2312" w:eastAsia="仿宋_GB2312" w:cs="仿宋_GB2312" w:hint="eastAsia"/>
          <w:color w:val="auto"/>
          <w:spacing w:val="0"/>
          <w:sz w:val="32"/>
          <w:szCs w:val="32"/>
          <w:lang w:val="en-US" w:eastAsia="zh-CN"/>
        </w:rPr>
        <w:t>有</w:t>
      </w:r>
      <w:r>
        <w:rPr>
          <w:rFonts w:ascii="仿宋_GB2312" w:eastAsia="仿宋_GB2312" w:cs="仿宋_GB2312" w:hint="eastAsia"/>
          <w:color w:val="auto"/>
          <w:spacing w:val="0"/>
          <w:sz w:val="32"/>
          <w:szCs w:val="32"/>
          <w:lang w:eastAsia="zh-CN"/>
        </w:rPr>
        <w:t>关主管部门及其工作人员违反本条例规定，玩忽职守、滥用职权、徇私舞弊，尚不构成犯罪的，对直接负责的主管人员和其他直接责任人员依法给予处分。</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jc w:val="both"/>
        <w:textAlignment w:val="auto"/>
        <w:rPr>
          <w:rFonts w:ascii="仿宋_GB2312" w:eastAsia="仿宋_GB2312" w:cs="仿宋_GB2312" w:hint="eastAsia"/>
          <w:color w:val="auto"/>
          <w:spacing w:val="0"/>
          <w:sz w:val="32"/>
          <w:szCs w:val="32"/>
        </w:rPr>
      </w:pPr>
      <w:r>
        <w:rPr>
          <w:rFonts w:ascii="黑体" w:eastAsia="黑体" w:cs="黑体" w:hint="eastAsia"/>
          <w:color w:val="auto"/>
          <w:spacing w:val="0"/>
          <w:kern w:val="2"/>
          <w:sz w:val="32"/>
          <w:szCs w:val="32"/>
          <w:lang w:val="en-US" w:eastAsia="zh-CN" w:bidi="ar-SA"/>
        </w:rPr>
        <w:t xml:space="preserve">第三十二条  </w:t>
      </w:r>
      <w:r>
        <w:rPr>
          <w:rFonts w:ascii="仿宋_GB2312" w:eastAsia="仿宋_GB2312" w:cs="仿宋_GB2312" w:hint="eastAsia"/>
          <w:color w:val="auto"/>
          <w:spacing w:val="0"/>
          <w:kern w:val="2"/>
          <w:sz w:val="32"/>
          <w:szCs w:val="32"/>
          <w:lang w:val="en-US" w:eastAsia="zh-CN" w:bidi="ar-SA"/>
        </w:rPr>
        <w:t>违反本条例规定的其他行为，法律、法规有处罚规定的，从其规定。</w:t>
      </w:r>
    </w:p>
    <w:p>
      <w:pPr>
        <w:pStyle w:val="18"/>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eastAsia="仿宋_GB2312" w:cs="仿宋_GB2312" w:hint="eastAsia"/>
          <w:color w:val="auto"/>
          <w:spacing w:val="0"/>
          <w:sz w:val="32"/>
          <w:szCs w:val="32"/>
        </w:rPr>
      </w:pPr>
    </w:p>
    <w:p>
      <w:pPr>
        <w:pStyle w:val="18"/>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eastAsia="黑体" w:cs="黑体" w:hint="eastAsia"/>
          <w:b w:val="0"/>
          <w:bCs w:val="0"/>
          <w:color w:val="auto"/>
          <w:spacing w:val="0"/>
          <w:kern w:val="2"/>
          <w:sz w:val="32"/>
          <w:szCs w:val="32"/>
          <w:lang w:val="en-US" w:eastAsia="zh-CN" w:bidi="ar-SA"/>
        </w:rPr>
      </w:pPr>
      <w:r>
        <w:rPr>
          <w:rFonts w:ascii="黑体" w:eastAsia="黑体" w:cs="黑体" w:hint="eastAsia"/>
          <w:b w:val="0"/>
          <w:bCs w:val="0"/>
          <w:color w:val="auto"/>
          <w:spacing w:val="0"/>
          <w:kern w:val="2"/>
          <w:sz w:val="32"/>
          <w:szCs w:val="32"/>
          <w:lang w:val="en-US" w:eastAsia="zh-CN" w:bidi="ar-SA"/>
        </w:rPr>
        <w:t>第</w:t>
      </w:r>
      <w:r>
        <w:rPr>
          <w:rFonts w:ascii="黑体" w:eastAsia="黑体" w:cs="黑体" w:hint="eastAsia"/>
          <w:color w:val="auto"/>
          <w:spacing w:val="0"/>
          <w:kern w:val="2"/>
          <w:sz w:val="32"/>
          <w:szCs w:val="32"/>
          <w:lang w:val="en-US" w:eastAsia="zh-CN" w:bidi="ar-SA"/>
        </w:rPr>
        <w:t>五</w:t>
      </w:r>
      <w:r>
        <w:rPr>
          <w:rFonts w:ascii="黑体" w:eastAsia="黑体" w:cs="黑体" w:hint="eastAsia"/>
          <w:b w:val="0"/>
          <w:bCs w:val="0"/>
          <w:color w:val="auto"/>
          <w:spacing w:val="0"/>
          <w:kern w:val="2"/>
          <w:sz w:val="32"/>
          <w:szCs w:val="32"/>
          <w:lang w:val="en-US" w:eastAsia="zh-CN" w:bidi="ar-SA"/>
        </w:rPr>
        <w:t>章  附  则</w:t>
      </w:r>
    </w:p>
    <w:p>
      <w:pPr>
        <w:pStyle w:val="18"/>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仿宋_GB2312" w:eastAsia="仿宋_GB2312" w:cs="仿宋_GB2312" w:hint="eastAsia"/>
          <w:b/>
          <w:bCs/>
          <w:color w:val="auto"/>
          <w:spacing w:val="0"/>
          <w:sz w:val="32"/>
          <w:szCs w:val="32"/>
          <w:lang w:val="en-US" w:eastAsia="zh-CN"/>
        </w:rPr>
      </w:pP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textAlignment w:val="auto"/>
        <w:rPr>
          <w:rFonts w:ascii="仿宋_GB2312" w:eastAsia="仿宋_GB2312" w:cs="仿宋_GB2312" w:hint="eastAsia"/>
          <w:color w:val="auto"/>
          <w:spacing w:val="0"/>
          <w:kern w:val="2"/>
          <w:sz w:val="32"/>
          <w:szCs w:val="32"/>
          <w:lang w:val="en-US" w:eastAsia="zh-CN" w:bidi="ar-SA"/>
        </w:rPr>
      </w:pPr>
      <w:r>
        <w:rPr>
          <w:rFonts w:ascii="黑体" w:eastAsia="黑体" w:cs="黑体" w:hint="eastAsia"/>
          <w:color w:val="auto"/>
          <w:spacing w:val="0"/>
          <w:kern w:val="2"/>
          <w:sz w:val="32"/>
          <w:szCs w:val="32"/>
          <w:lang w:val="en-US" w:eastAsia="zh-CN" w:bidi="ar-SA"/>
        </w:rPr>
        <w:t xml:space="preserve">第三十三条  </w:t>
      </w:r>
      <w:r>
        <w:rPr>
          <w:rFonts w:ascii="仿宋_GB2312" w:eastAsia="仿宋_GB2312" w:cs="仿宋_GB2312" w:hint="eastAsia"/>
          <w:color w:val="auto"/>
          <w:spacing w:val="0"/>
          <w:kern w:val="2"/>
          <w:sz w:val="32"/>
          <w:szCs w:val="32"/>
          <w:lang w:val="en-US" w:eastAsia="zh-CN" w:bidi="ar-SA"/>
        </w:rPr>
        <w:t>法律</w:t>
      </w:r>
      <w:r>
        <w:rPr>
          <w:rFonts w:ascii="仿宋_GB2312" w:cs="仿宋_GB2312" w:hAnsi="仿宋_GB2312" w:hint="eastAsia"/>
          <w:color w:val="auto"/>
          <w:spacing w:val="0"/>
          <w:kern w:val="2"/>
          <w:sz w:val="32"/>
          <w:szCs w:val="32"/>
          <w:lang w:val="en-US" w:eastAsia="zh-CN" w:bidi="ar-SA"/>
        </w:rPr>
        <w:t>、</w:t>
      </w:r>
      <w:r>
        <w:rPr>
          <w:rFonts w:ascii="仿宋_GB2312" w:eastAsia="仿宋_GB2312" w:cs="仿宋_GB2312" w:hint="eastAsia"/>
          <w:color w:val="auto"/>
          <w:spacing w:val="0"/>
          <w:kern w:val="2"/>
          <w:sz w:val="32"/>
          <w:szCs w:val="32"/>
          <w:lang w:val="en-US" w:eastAsia="zh-CN" w:bidi="ar-SA"/>
        </w:rPr>
        <w:t>法规对红色遗址遗迹中涉及文物、历史建筑和烈士纪念设施的保护已有规定的，从其规定。</w:t>
      </w:r>
    </w:p>
    <w:p>
      <w:pPr>
        <w:pStyle w:val="18"/>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textAlignment w:val="auto"/>
        <w:rPr>
          <w:rFonts w:hint="eastAsia"/>
          <w:color w:val="auto"/>
          <w:spacing w:val="0"/>
          <w:lang w:val="en-US" w:eastAsia="zh-CN"/>
        </w:rPr>
      </w:pPr>
      <w:r>
        <w:rPr>
          <w:rFonts w:ascii="黑体" w:eastAsia="黑体" w:cs="黑体" w:hint="eastAsia"/>
          <w:color w:val="auto"/>
          <w:spacing w:val="0"/>
          <w:kern w:val="2"/>
          <w:sz w:val="32"/>
          <w:szCs w:val="32"/>
          <w:lang w:val="en-US" w:eastAsia="zh-CN" w:bidi="ar-SA"/>
        </w:rPr>
        <w:t xml:space="preserve">第三十四条  </w:t>
      </w:r>
      <w:r>
        <w:rPr>
          <w:rFonts w:ascii="仿宋_GB2312" w:eastAsia="仿宋_GB2312" w:cs="仿宋_GB2312" w:hint="eastAsia"/>
          <w:color w:val="auto"/>
          <w:spacing w:val="0"/>
          <w:sz w:val="32"/>
          <w:szCs w:val="32"/>
        </w:rPr>
        <w:t>本条例自</w:t>
      </w:r>
      <w:r>
        <w:rPr>
          <w:rFonts w:ascii="仿宋_GB2312" w:cs="仿宋_GB2312" w:hAnsi="仿宋_GB2312" w:hint="eastAsia"/>
          <w:color w:val="auto"/>
          <w:spacing w:val="0"/>
          <w:sz w:val="32"/>
          <w:szCs w:val="32"/>
          <w:lang w:val="en-US" w:eastAsia="zh-CN"/>
        </w:rPr>
        <w:t xml:space="preserve">  </w:t>
      </w:r>
      <w:r>
        <w:rPr>
          <w:rFonts w:ascii="仿宋_GB2312" w:eastAsia="仿宋_GB2312" w:cs="仿宋_GB2312" w:hint="eastAsia"/>
          <w:color w:val="auto"/>
          <w:spacing w:val="0"/>
          <w:sz w:val="32"/>
          <w:szCs w:val="32"/>
        </w:rPr>
        <w:t>年</w:t>
      </w:r>
      <w:r>
        <w:rPr>
          <w:rFonts w:ascii="仿宋_GB2312" w:cs="仿宋_GB2312" w:hAnsi="仿宋_GB2312" w:hint="eastAsia"/>
          <w:color w:val="auto"/>
          <w:spacing w:val="0"/>
          <w:sz w:val="32"/>
          <w:szCs w:val="32"/>
          <w:lang w:val="en-US" w:eastAsia="zh-CN"/>
        </w:rPr>
        <w:t xml:space="preserve">  </w:t>
      </w:r>
      <w:r>
        <w:rPr>
          <w:rFonts w:ascii="仿宋_GB2312" w:eastAsia="仿宋_GB2312" w:cs="仿宋_GB2312" w:hint="eastAsia"/>
          <w:color w:val="auto"/>
          <w:spacing w:val="0"/>
          <w:sz w:val="32"/>
          <w:szCs w:val="32"/>
        </w:rPr>
        <w:t>月</w:t>
      </w:r>
      <w:r>
        <w:rPr>
          <w:rFonts w:ascii="仿宋_GB2312" w:cs="仿宋_GB2312" w:hAnsi="仿宋_GB2312" w:hint="eastAsia"/>
          <w:color w:val="auto"/>
          <w:spacing w:val="0"/>
          <w:sz w:val="32"/>
          <w:szCs w:val="32"/>
          <w:lang w:val="en-US" w:eastAsia="zh-CN"/>
        </w:rPr>
        <w:t xml:space="preserve">  </w:t>
      </w:r>
      <w:r>
        <w:rPr>
          <w:rFonts w:ascii="仿宋_GB2312" w:eastAsia="仿宋_GB2312" w:cs="仿宋_GB2312" w:hint="eastAsia"/>
          <w:color w:val="auto"/>
          <w:spacing w:val="0"/>
          <w:sz w:val="32"/>
          <w:szCs w:val="32"/>
        </w:rPr>
        <w:t>日起施行</w:t>
      </w:r>
      <w:r>
        <w:rPr>
          <w:rFonts w:ascii="仿宋_GB2312" w:eastAsia="仿宋_GB2312" w:cs="仿宋_GB2312" w:hint="eastAsia"/>
          <w:color w:val="auto"/>
          <w:spacing w:val="0"/>
          <w:sz w:val="32"/>
          <w:szCs w:val="32"/>
          <w:lang w:eastAsia="zh-CN"/>
        </w:rPr>
        <w:t>。</w:t>
      </w:r>
    </w:p>
    <w:sectPr>
      <w:footerReference w:type="default" r:id="rId2"/>
      <w:footerReference w:type="even" r:id="rId3"/>
      <w:pgSz w:w="11907" w:h="16840"/>
      <w:pgMar w:top="1814" w:right="1588" w:bottom="1304"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CESI仿宋-GB2312">
    <w:panose1 w:val="02000500000000000000"/>
    <w:charset w:val="86"/>
    <w:family w:val="auto"/>
    <w:pitch w:val="variable"/>
    <w:sig w:usb0="800002AF" w:usb1="084F6CF8" w:usb2="00000010" w:usb3="00000000" w:csb0="0004000F" w:csb1="00000000"/>
  </w:font>
  <w:font w:name="仿宋_GB2312">
    <w:panose1 w:val="02010609030101010101"/>
    <w:charset w:val="86"/>
    <w:family w:val="modern"/>
    <w:pitch w:val="variable"/>
    <w:sig w:usb0="00000001" w:usb1="080E0000" w:usb2="00000000" w:usb3="00000000" w:csb0="00040000" w:csb1="00000000"/>
  </w:font>
  <w:font w:name="Calibri">
    <w:altName w:val="Times New Roman"/>
    <w:panose1 w:val="020F0502020204030204"/>
    <w:charset w:val="00"/>
    <w:family w:val="swiss"/>
    <w:pitch w:val="variable"/>
    <w:sig w:usb0="E00002FF" w:usb1="4000ACFF" w:usb2="00000001" w:usb3="00000000" w:csb0="2000019F" w:csb1="00000000"/>
  </w:font>
  <w:font w:name="方正小标宋简体">
    <w:panose1 w:val="02000000000000000000"/>
    <w:charset w:val="86"/>
    <w:family w:val="auto"/>
    <w:pitch w:val="variable"/>
    <w:sig w:usb0="A00002BF" w:usb1="184F6CFA" w:usb2="00000012" w:usb3="00000000" w:csb0="00040001" w:csb1="00000000"/>
  </w:font>
  <w:font w:name="黑体">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variable"/>
    <w:sig w:usb0="00000001" w:usb1="080E0000" w:usb2="00000000" w:usb3="00000000" w:csb0="00040000" w:csb1="00000000"/>
  </w:font>
  <w:font w:name="仿宋">
    <w:altName w:val="仿宋_GB2312"/>
    <w:panose1 w:val="02010609060101010101"/>
    <w:charset w:val="86"/>
    <w:family w:val="auto"/>
    <w:pitch w:val="variable"/>
    <w:sig w:usb0="800002BF" w:usb1="38CF7CFA" w:usb2="00000016" w:usb3="00000000" w:csb0="00040001" w:csb1="00000000"/>
  </w:font>
  <w:font w:name="宋体">
    <w:panose1 w:val="02010600030101010101"/>
    <w:charset w:val="50"/>
    <w:family w:val="auto"/>
    <w:pitch w:val="variable"/>
    <w:sig w:usb0="00000003" w:usb1="080E0000" w:usb2="00000000" w:usb3="00000000" w:csb0="00040001" w:csb1="00000000"/>
  </w:font>
  <w:font w:name="CESI黑体-GB2312">
    <w:panose1 w:val="02000500000000000000"/>
    <w:charset w:val="86"/>
    <w:family w:val="auto"/>
    <w:pitch w:val="variable"/>
    <w:sig w:usb0="800002BF" w:usb1="184F6CF8" w:usb2="00000012" w:usb3="00000000" w:csb0="0004000F" w:csb1="00000000"/>
  </w:font>
  <w:font w:name="Times New Roman">
    <w:panose1 w:val="02020603050405020304"/>
    <w:charset w:val="01"/>
    <w:family w:val="auto"/>
    <w:pitch w:val="variable"/>
    <w:sig w:usb0="E0002AFF" w:usb1="C0007841" w:usb2="00000009" w:usb3="00000000" w:csb0="400001FF" w:csb1="FFFF0000"/>
  </w:font>
  <w:font w:name="Arial">
    <w:altName w:val="DejaVu Sans"/>
    <w:panose1 w:val="020B0604020202020204"/>
    <w:charset w:val="01"/>
    <w:family w:val="swiss"/>
    <w:pitch w:val="variable"/>
    <w:sig w:usb0="E0002AFF" w:usb1="C0007843" w:usb2="00000009" w:usb3="00000000" w:csb0="400001FF" w:csb1="FFFF0000"/>
  </w:font>
  <w:font w:name="Courier New">
    <w:altName w:val="DejaVu Sans"/>
    <w:panose1 w:val="02070309020205020404"/>
    <w:charset w:val="01"/>
    <w:family w:val="modern"/>
    <w:pitch w:val="variable"/>
    <w:sig w:usb0="E0002AFF" w:usb1="C0007843" w:usb2="00000009" w:usb3="00000000" w:csb0="400001FF" w:csb1="FFFF0000"/>
  </w:font>
  <w:font w:name="Cambria">
    <w:altName w:val="DejaVu Sans"/>
    <w:panose1 w:val="02040503050406030204"/>
    <w:charset w:val="00"/>
    <w:family w:val="roman"/>
    <w:pitch w:val="variable"/>
    <w:sig w:usb0="E00002FF" w:usb1="400004FF" w:usb2="00000000" w:usb3="00000000" w:csb0="2000019F" w:csb1="00000000"/>
  </w:font>
  <w:font w:name="方正粗倩简体">
    <w:altName w:val="宋体"/>
    <w:panose1 w:val="03000509000000000000"/>
    <w:charset w:val="86"/>
    <w:family w:val="script"/>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widowControl/>
      <w:tabs>
        <w:tab w:val="center" w:pos="4153"/>
        <w:tab w:val="right" w:pos="8306"/>
      </w:tabs>
      <w:snapToGrid w:val="0"/>
      <w:jc w:val="left"/>
      <w:textAlignment w:val="baseline"/>
      <w:rPr>
        <w:rStyle w:val="0"/>
        <w:rFonts w:ascii="仿宋_GB2312" w:eastAsia="仿宋_GB2312"/>
        <w:kern w:val="2"/>
        <w:sz w:val="32"/>
        <w:szCs w:val="32"/>
        <w:lang w:val="en-US" w:eastAsia="zh-CN" w:bidi="ar-SA"/>
      </w:rPr>
    </w:pPr>
    <w:r>
      <w:rPr>
        <w:sz w:val="32"/>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536650" cy="298071"/>
              <wp:effectExtent l="0" t="0" r="0" b="0"/>
              <wp:wrapNone/>
              <wp:docPr id="1" name="文本框 1025"/>
              <wp:cNvGraphicFramePr>
                <a:graphicFrameLocks noChangeAspect="0"/>
              </wp:cNvGraphicFramePr>
              <a:graphic>
                <a:graphicData uri="http://schemas.microsoft.com/office/word/2010/wordprocessingShape">
                  <wps:wsp>
                    <wps:cNvSpPr/>
                    <wps:spPr>
                      <a:xfrm rot="0">
                        <a:off x="0" y="0"/>
                        <a:ext cx="536650" cy="298071"/>
                      </a:xfrm>
                      <a:prstGeom prst="rect"/>
                      <a:noFill/>
                      <a:ln w="9525" cmpd="sng" cap="flat">
                        <a:noFill/>
                        <a:prstDash val="solid"/>
                        <a:round/>
                      </a:ln>
                    </wps:spPr>
                    <wps:txbx id="2">
                      <w:txbxContent>
                        <w:p>
                          <w:pPr>
                            <w:pStyle w:val="19"/>
                            <w:tabs>
                              <w:tab w:val="center" w:pos="4153"/>
                              <w:tab w:val="right" w:pos="8306"/>
                            </w:tabs>
                          </w:pPr>
                          <w:r>
                            <w:rPr>
                              <w:rFonts w:ascii="CESI仿宋-GB2312" w:eastAsia="CESI仿宋-GB2312" w:cs="CESI仿宋-GB2312" w:hint="eastAsia"/>
                              <w:sz w:val="32"/>
                              <w:szCs w:val="32"/>
                            </w:rPr>
                            <w:fldChar w:fldCharType="begin"/>
                          </w:r>
                          <w:r>
                            <w:rPr>
                              <w:rFonts w:ascii="CESI仿宋-GB2312" w:eastAsia="CESI仿宋-GB2312" w:cs="CESI仿宋-GB2312" w:hint="eastAsia"/>
                              <w:sz w:val="32"/>
                              <w:szCs w:val="32"/>
                            </w:rPr>
                            <w:instrText xml:space="preserve"> PAGE  \* MERGEFORMAT </w:instrText>
                          </w:r>
                          <w:r>
                            <w:rPr>
                              <w:rFonts w:ascii="CESI仿宋-GB2312" w:eastAsia="CESI仿宋-GB2312" w:cs="CESI仿宋-GB2312" w:hint="eastAsia"/>
                              <w:sz w:val="32"/>
                              <w:szCs w:val="32"/>
                            </w:rPr>
                            <w:fldChar w:fldCharType="separate"/>
                          </w:r>
                          <w:r>
                            <w:rPr>
                              <w:rFonts w:ascii="CESI仿宋-GB2312" w:eastAsia="CESI仿宋-GB2312" w:cs="CESI仿宋-GB2312" w:hint="eastAsia"/>
                              <w:sz w:val="32"/>
                              <w:szCs w:val="32"/>
                            </w:rPr>
                            <w:t>1</w:t>
                          </w:r>
                          <w:r>
                            <w:rPr>
                              <w:rFonts w:ascii="CESI仿宋-GB2312" w:eastAsia="CESI仿宋-GB2312" w:cs="CESI仿宋-GB2312" w:hint="eastAsia"/>
                              <w:sz w:val="32"/>
                              <w:szCs w:val="32"/>
                            </w:rPr>
                            <w:fldChar w:fldCharType="end"/>
                          </w:r>
                        </w:p>
                      </w:txbxContent>
                    </wps:txbx>
                    <wps:bodyPr vert="horz" wrap="none" lIns="0" tIns="0" rIns="0" bIns="0" anchor="t" anchorCtr="0" upright="0">
                      <a:spAutoFit/>
                    </wps:bodyPr>
                  </wps:wsp>
                </a:graphicData>
              </a:graphic>
            </wp:anchor>
          </w:drawing>
        </mc:Choice>
        <mc:Fallback>
          <w:pict>
            <v:shape type="#_x0000_t202" id="文本框 1025 3" o:spid="_x0000_s3" filled="f" stroked="f" style="position:absolute;margin-left:0.0pt;margin-top:0.0pt;width:42.255978pt;height:23.470194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9"/>
                      <w:tabs>
                        <w:tab w:val="center" w:pos="4153"/>
                        <w:tab w:val="right" w:pos="8306"/>
                      </w:tabs>
                    </w:pPr>
                    <w:r>
                      <w:rPr>
                        <w:rFonts w:ascii="CESI仿宋-GB2312" w:eastAsia="CESI仿宋-GB2312" w:cs="CESI仿宋-GB2312" w:hint="eastAsia"/>
                        <w:sz w:val="32"/>
                        <w:szCs w:val="32"/>
                      </w:rPr>
                      <w:fldChar w:fldCharType="begin"/>
                    </w:r>
                    <w:r>
                      <w:rPr>
                        <w:rFonts w:ascii="CESI仿宋-GB2312" w:eastAsia="CESI仿宋-GB2312" w:cs="CESI仿宋-GB2312" w:hint="eastAsia"/>
                        <w:sz w:val="32"/>
                        <w:szCs w:val="32"/>
                      </w:rPr>
                      <w:instrText xml:space="preserve"> PAGE  \* MERGEFORMAT </w:instrText>
                    </w:r>
                    <w:r>
                      <w:rPr>
                        <w:rFonts w:ascii="CESI仿宋-GB2312" w:eastAsia="CESI仿宋-GB2312" w:cs="CESI仿宋-GB2312" w:hint="eastAsia"/>
                        <w:sz w:val="32"/>
                        <w:szCs w:val="32"/>
                      </w:rPr>
                      <w:fldChar w:fldCharType="separate"/>
                    </w:r>
                    <w:r>
                      <w:rPr>
                        <w:rFonts w:ascii="CESI仿宋-GB2312" w:eastAsia="CESI仿宋-GB2312" w:cs="CESI仿宋-GB2312" w:hint="eastAsia"/>
                        <w:sz w:val="32"/>
                        <w:szCs w:val="32"/>
                      </w:rPr>
                      <w:t>1</w:t>
                    </w:r>
                    <w:r>
                      <w:rPr>
                        <w:rFonts w:ascii="CESI仿宋-GB2312" w:eastAsia="CESI仿宋-GB2312" w:cs="CESI仿宋-GB2312" w:hint="eastAsia"/>
                        <w:sz w:val="32"/>
                        <w:szCs w:val="32"/>
                      </w:rPr>
                      <w:fldChar w:fldCharType="end"/>
                    </w:r>
                  </w:p>
                </w:txbxContent>
              </v:textbox>
            </v:shape>
          </w:pict>
        </mc:Fallback>
      </mc:AlternateContent>
    </w:r>
  </w:p>
  <w:p>
    <w:pPr>
      <w:pStyle w:val="19"/>
      <w:widowControl/>
      <w:tabs>
        <w:tab w:val="center" w:pos="4153"/>
        <w:tab w:val="right" w:pos="8306"/>
      </w:tabs>
      <w:snapToGrid w:val="0"/>
      <w:ind w:right="360" w:firstLine="360"/>
      <w:jc w:val="left"/>
      <w:textAlignment w:val="baseline"/>
      <w:rPr>
        <w:rStyle w:val="0"/>
        <w:rFonts w:ascii="Calibri" w:hAnsi="Calibri"/>
        <w:kern w:val="2"/>
        <w:sz w:val="18"/>
        <w:szCs w:val="18"/>
        <w:lang w:val="en-US" w:eastAsia="zh-CN" w:bidi="ar-SA"/>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margin" w:hAnchor="text" w:xAlign="outside" w:y="1" w:anchorLock="0"/>
      <w:widowControl/>
      <w:tabs>
        <w:tab w:val="center" w:pos="4153"/>
        <w:tab w:val="right" w:pos="8306"/>
      </w:tabs>
      <w:snapToGrid w:val="0"/>
      <w:jc w:val="left"/>
      <w:textAlignment w:val="baseline"/>
      <w:rPr>
        <w:rStyle w:val="0"/>
        <w:rFonts w:ascii="Calibri" w:hAnsi="Calibri"/>
        <w:kern w:val="2"/>
        <w:sz w:val="18"/>
        <w:szCs w:val="18"/>
        <w:lang w:val="en-US" w:eastAsia="zh-CN" w:bidi="ar-SA"/>
      </w:rPr>
    </w:pPr>
  </w:p>
  <w:p>
    <w:pPr>
      <w:pStyle w:val="19"/>
      <w:widowControl/>
      <w:tabs>
        <w:tab w:val="center" w:pos="4153"/>
        <w:tab w:val="right" w:pos="8306"/>
      </w:tabs>
      <w:snapToGrid w:val="0"/>
      <w:ind w:right="360" w:firstLine="360"/>
      <w:jc w:val="left"/>
      <w:textAlignment w:val="baseline"/>
      <w:rPr>
        <w:rStyle w:val="0"/>
        <w:rFonts w:ascii="Calibri" w:hAnsi="Calibri"/>
        <w:kern w:val="2"/>
        <w:sz w:val="18"/>
        <w:szCs w:val="18"/>
        <w:lang w:val="en-US" w:eastAsia="zh-CN" w:bidi="ar-SA"/>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oNotUseMarginsForDrawingGridOrigin/>
  <w:drawingGridHorizontalOrigin w:val="1800"/>
  <w:drawingGridVerticalOrigin w:val="1440"/>
  <w:displayHorizontalDrawingGridEvery w:val="1"/>
  <w:displayVerticalDrawingGridEvery w:val="1"/>
  <w:noPunctuationKerning/>
  <w:compat>
    <w:spaceForUL/>
    <w:balanceSingleByteDoubleByteWidth/>
    <w:doNotExpandShiftReturn/>
    <w:adjustLineHeightInTable/>
    <w:doNotUseIndentAsNumberingTabStop/>
    <w:useAltKinsokuLineBreakRules/>
    <w:compatSetting w:name="compatibilityMode" w:uri="http://schemas.microsoft.com/office/word" w:val="14"/>
  </w:compat>
  <w:docVars>
    <w:docVar w:name="commondata" w:val="eyJoZGlkIjoiZTM2MzMzN2IyMDY1NGRlMTUzMGE3ZTcxZjQwZTQ0NT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3"/>
    <w:pPr>
      <w:jc w:val="both"/>
      <w:textAlignment w:val="baseline"/>
    </w:pPr>
    <w:rPr>
      <w:rFonts w:ascii="Calibri" w:eastAsia="宋体" w:cs="Arial" w:hAnsi="Calibri"/>
      <w:kern w:val="2"/>
      <w:sz w:val="21"/>
      <w:szCs w:val="22"/>
      <w:lang w:val="en-US" w:eastAsia="zh-CN" w:bidi="ar-SA"/>
    </w:rPr>
  </w:style>
  <w:style w:type="paragraph" w:styleId="1">
    <w:name w:val="heading 1"/>
    <w:basedOn w:val="0"/>
    <w:next w:val="2"/>
    <w:pPr>
      <w:widowControl/>
      <w:spacing w:before="100" w:beforeAutospacing="1" w:after="100" w:afterAutospacing="1"/>
      <w:jc w:val="left"/>
      <w:outlineLvl w:val="0"/>
    </w:pPr>
    <w:rPr>
      <w:rFonts w:ascii="宋体" w:eastAsia="宋体" w:cs="宋体"/>
      <w:b/>
      <w:bCs/>
      <w:kern w:val="36"/>
      <w:sz w:val="48"/>
      <w:szCs w:val="48"/>
    </w:rPr>
  </w:style>
  <w:style w:type="paragraph" w:styleId="2">
    <w:name w:val="heading 2"/>
    <w:basedOn w:val="0"/>
    <w:next w:val="3"/>
    <w:pPr>
      <w:spacing w:before="100" w:beforeAutospacing="1" w:after="100" w:afterAutospacing="1"/>
      <w:jc w:val="left"/>
      <w:outlineLvl w:val="1"/>
    </w:pPr>
    <w:rPr>
      <w:rFonts w:ascii="宋体" w:eastAsia="宋体" w:cs="宋体"/>
      <w:b/>
      <w:kern w:val="0"/>
      <w:sz w:val="36"/>
      <w:szCs w:val="36"/>
      <w:lang w:val="en-US" w:eastAsia="zh-CN"/>
    </w:rPr>
  </w:style>
  <w:style w:type="paragraph" w:styleId="3">
    <w:name w:val="heading 3"/>
    <w:basedOn w:val="0"/>
    <w:next w:val="0"/>
    <w:pPr>
      <w:keepNext/>
      <w:keepLines/>
      <w:spacing w:before="260" w:beforeAutospacing="0" w:after="260" w:afterAutospacing="0" w:line="413" w:lineRule="auto"/>
      <w:outlineLvl w:val="2"/>
    </w:pPr>
    <w:rPr>
      <w:rFonts w:ascii="Times New Roman" w:hAnsi="Times New Roman"/>
      <w:b/>
      <w:kern w:val="0"/>
      <w:sz w:val="32"/>
      <w:szCs w:val="20"/>
    </w:rPr>
  </w:style>
  <w:style w:type="character" w:default="1" w:styleId="10">
    <w:name w:val="Default Paragraph Font"/>
  </w:style>
  <w:style w:type="paragraph" w:styleId="15">
    <w:name w:val="Normal Indent"/>
    <w:next w:val="0"/>
    <w:pPr>
      <w:widowControl w:val="0"/>
      <w:ind w:firstLineChars="200" w:firstLine="200"/>
      <w:jc w:val="both"/>
    </w:pPr>
    <w:rPr>
      <w:rFonts w:ascii="Calibri" w:eastAsia="宋体" w:cs="Times New Roman" w:hAnsi="Calibri"/>
      <w:kern w:val="2"/>
      <w:sz w:val="32"/>
      <w:szCs w:val="32"/>
      <w:lang w:val="en-US" w:eastAsia="zh-CN" w:bidi="ar-SA"/>
    </w:rPr>
  </w:style>
  <w:style w:type="paragraph" w:styleId="16">
    <w:name w:val="Body Text"/>
    <w:basedOn w:val="0"/>
    <w:next w:val="0"/>
    <w:rPr>
      <w:sz w:val="44"/>
    </w:rPr>
  </w:style>
  <w:style w:type="paragraph" w:styleId="17">
    <w:name w:val="Body Text Indent"/>
    <w:basedOn w:val="0"/>
    <w:pPr>
      <w:spacing w:after="120"/>
      <w:ind w:leftChars="200" w:left="200"/>
    </w:pPr>
  </w:style>
  <w:style w:type="paragraph" w:styleId="18">
    <w:name w:val="Plain Text"/>
    <w:basedOn w:val="0"/>
    <w:rPr>
      <w:rFonts w:ascii="宋体" w:eastAsia="宋体" w:cs="Courier New"/>
      <w:szCs w:val="21"/>
    </w:rPr>
  </w:style>
  <w:style w:type="paragraph" w:styleId="19">
    <w:name w:val="footer"/>
    <w:basedOn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20">
    <w:name w:val="header"/>
    <w:basedOn w:val="0"/>
    <w:pPr>
      <w:pBdr>
        <w:bottom w:val="single" w:sz="6" w:space="1" w:color="000000"/>
      </w:pBdr>
      <w:tabs>
        <w:tab w:val="center" w:pos="4153"/>
        <w:tab w:val="right" w:pos="8306"/>
      </w:tabs>
      <w:snapToGrid w:val="0"/>
      <w:jc w:val="center"/>
      <w:textAlignment w:val="baseline"/>
    </w:pPr>
    <w:rPr>
      <w:rFonts w:ascii="Calibri" w:hAnsi="Calibri"/>
      <w:kern w:val="2"/>
      <w:sz w:val="18"/>
      <w:szCs w:val="18"/>
      <w:lang w:val="en-US" w:eastAsia="zh-CN" w:bidi="ar-SA"/>
    </w:rPr>
  </w:style>
  <w:style w:type="paragraph" w:styleId="21">
    <w:name w:val="index 9"/>
    <w:basedOn w:val="0"/>
    <w:next w:val="0"/>
    <w:pPr>
      <w:ind w:leftChars="1600" w:left="1600"/>
    </w:pPr>
    <w:rPr>
      <w:rFonts w:ascii="Times New Roman" w:eastAsia="宋体" w:cs="Times New Roman" w:hAnsi="Times New Roman"/>
    </w:rPr>
  </w:style>
  <w:style w:type="paragraph" w:styleId="22">
    <w:name w:val="Normal (Web)"/>
    <w:basedOn w:val="0"/>
    <w:next w:val="21"/>
    <w:pPr>
      <w:spacing w:before="0" w:beforeAutospacing="1" w:after="0" w:afterAutospacing="1"/>
      <w:ind w:left="0" w:right="0"/>
      <w:jc w:val="left"/>
    </w:pPr>
    <w:rPr>
      <w:kern w:val="0"/>
      <w:sz w:val="24"/>
      <w:lang w:val="en-US" w:eastAsia="zh-CN"/>
    </w:rPr>
  </w:style>
  <w:style w:type="paragraph" w:styleId="23">
    <w:name w:val="Title"/>
    <w:basedOn w:val="0"/>
    <w:next w:val="24"/>
    <w:pPr>
      <w:spacing w:before="240" w:after="60"/>
      <w:jc w:val="center"/>
      <w:outlineLvl w:val="0"/>
    </w:pPr>
    <w:rPr>
      <w:rFonts w:ascii="Cambria" w:cs="黑体" w:hAnsi="Cambria"/>
      <w:b/>
      <w:bCs/>
      <w:sz w:val="32"/>
      <w:szCs w:val="32"/>
    </w:rPr>
  </w:style>
  <w:style w:type="paragraph" w:customStyle="1" w:styleId="24">
    <w:name w:val="文章副标题"/>
    <w:basedOn w:val="0"/>
    <w:next w:val="1"/>
    <w:pPr>
      <w:spacing w:before="104" w:after="104" w:line="0" w:lineRule="atLeast"/>
      <w:ind w:firstLine="0"/>
      <w:jc w:val="center"/>
    </w:pPr>
    <w:rPr>
      <w:sz w:val="36"/>
    </w:rPr>
  </w:style>
  <w:style w:type="paragraph" w:styleId="25">
    <w:name w:val="Body Text First Indent 2"/>
    <w:basedOn w:val="17"/>
    <w:pPr>
      <w:spacing w:after="0" w:line="360" w:lineRule="auto"/>
      <w:ind w:leftChars="0" w:left="0" w:firstLineChars="200" w:firstLine="200"/>
    </w:pPr>
    <w:rPr>
      <w:rFonts w:eastAsia="仿宋_GB2312"/>
      <w:sz w:val="32"/>
      <w:szCs w:val="32"/>
    </w:rPr>
  </w:style>
  <w:style w:type="paragraph" w:customStyle="1" w:styleId="26">
    <w:name w:val="Heading1"/>
    <w:basedOn w:val="0"/>
    <w:next w:val="0"/>
    <w:pPr>
      <w:spacing w:before="100" w:beforeAutospacing="1" w:after="100" w:afterAutospacing="1"/>
      <w:jc w:val="left"/>
      <w:textAlignment w:val="baseline"/>
    </w:pPr>
    <w:rPr>
      <w:rFonts w:ascii="宋体" w:eastAsia="宋体"/>
      <w:b/>
      <w:kern w:val="44"/>
      <w:sz w:val="48"/>
      <w:szCs w:val="48"/>
      <w:lang w:val="en-US" w:eastAsia="zh-CN"/>
    </w:rPr>
  </w:style>
  <w:style w:type="paragraph" w:customStyle="1" w:styleId="27">
    <w:name w:val="BodyText"/>
    <w:basedOn w:val="0"/>
    <w:pPr>
      <w:jc w:val="both"/>
      <w:textAlignment w:val="baseline"/>
    </w:pPr>
    <w:rPr>
      <w:rFonts w:ascii="Times New Roman" w:hAnsi="Times New Roman"/>
      <w:kern w:val="2"/>
      <w:sz w:val="44"/>
      <w:szCs w:val="24"/>
      <w:lang w:val="en-US" w:eastAsia="zh-CN" w:bidi="ar-SA"/>
    </w:rPr>
  </w:style>
  <w:style w:type="paragraph" w:customStyle="1" w:styleId="28">
    <w:name w:val="HtmlNormal"/>
    <w:basedOn w:val="0"/>
    <w:pPr>
      <w:widowControl/>
      <w:spacing w:before="100" w:beforeAutospacing="1" w:after="100" w:afterAutospacing="1"/>
      <w:jc w:val="left"/>
      <w:textAlignment w:val="baseline"/>
    </w:pPr>
    <w:rPr>
      <w:rFonts w:ascii="宋体"/>
      <w:kern w:val="0"/>
      <w:sz w:val="24"/>
      <w:szCs w:val="24"/>
      <w:lang w:val="en-US" w:eastAsia="zh-CN" w:bidi="ar-SA"/>
    </w:rPr>
  </w:style>
  <w:style w:type="paragraph" w:customStyle="1" w:styleId="29">
    <w:name w:val="UserStyle_0"/>
    <w:basedOn w:val="0"/>
    <w:next w:val="0"/>
    <w:pPr>
      <w:ind w:firstLineChars="200" w:firstLine="200"/>
      <w:jc w:val="both"/>
      <w:textAlignment w:val="baseline"/>
    </w:pPr>
  </w:style>
  <w:style w:type="paragraph" w:customStyle="1" w:styleId="30">
    <w:name w:val="正文 New New New"/>
    <w:next w:val="31"/>
    <w:pPr>
      <w:widowControl w:val="0"/>
      <w:jc w:val="both"/>
    </w:pPr>
    <w:rPr>
      <w:rFonts w:ascii="Calibri" w:eastAsia="宋体" w:cs="黑体" w:hAnsi="Calibri"/>
      <w:kern w:val="2"/>
      <w:sz w:val="21"/>
      <w:szCs w:val="24"/>
      <w:lang w:val="en-US" w:eastAsia="zh-CN" w:bidi="ar-SA"/>
    </w:rPr>
  </w:style>
  <w:style w:type="paragraph" w:customStyle="1" w:styleId="31">
    <w:name w:val="正文-公1"/>
    <w:basedOn w:val="30"/>
    <w:next w:val="22"/>
    <w:pPr>
      <w:ind w:firstLineChars="200" w:firstLine="200"/>
    </w:pPr>
  </w:style>
  <w:style w:type="paragraph" w:customStyle="1" w:styleId="32">
    <w:name w:val="正文 New New New New New New New New New New New New"/>
    <w:next w:val="34"/>
    <w:pPr>
      <w:widowControl w:val="0"/>
      <w:jc w:val="both"/>
    </w:pPr>
    <w:rPr>
      <w:rFonts w:ascii="Calibri" w:eastAsia="宋体" w:cs="方正粗倩简体" w:hAnsi="Calibri"/>
      <w:kern w:val="2"/>
      <w:sz w:val="21"/>
      <w:szCs w:val="20"/>
      <w:lang w:val="en-US" w:eastAsia="zh-CN"/>
    </w:rPr>
  </w:style>
  <w:style w:type="paragraph" w:customStyle="1" w:styleId="33">
    <w:name w:val="Body Text Indent1"/>
    <w:basedOn w:val="32"/>
    <w:pPr>
      <w:ind w:leftChars="200" w:left="200"/>
    </w:pPr>
  </w:style>
  <w:style w:type="paragraph" w:customStyle="1" w:styleId="34">
    <w:name w:val="Body Text First Indent 21"/>
    <w:basedOn w:val="33"/>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12</Pages>
  <Words>4681</Words>
  <Characters>4703</Characters>
  <Lines>246</Lines>
  <Paragraphs>102</Paragraphs>
  <CharactersWithSpaces>4812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ysgz</dc:creator>
  <cp:lastModifiedBy>ysgz</cp:lastModifiedBy>
  <cp:revision>0</cp:revision>
  <cp:lastPrinted>2023-10-24T15:12:00Z</cp:lastPrinted>
  <dcterms:created xsi:type="dcterms:W3CDTF">2022-10-11T03:00:00Z</dcterms:created>
  <dcterms:modified xsi:type="dcterms:W3CDTF">2023-10-26T07:36:37Z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2052-11.8.2.10422</vt:lpwstr>
  </property>
  <property fmtid="{D5CDD505-2E9C-101B-9397-08002B2CF9AE}" pid="3" name="ICV">
    <vt:lpwstr>8D1AF76AAAE44CBBB1255B8E04B0180C_13</vt:lpwstr>
  </property>
</Properties>
</file>