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60" w:lineRule="exact"/>
        <w:textAlignment w:val="auto"/>
        <w:rPr>
          <w:rFonts w:hint="eastAsia" w:ascii="方正小标宋_GBK" w:hAnsi="方正小标宋_GBK" w:eastAsia="方正小标宋_GBK" w:cs="方正小标宋_GBK"/>
          <w:sz w:val="44"/>
          <w:szCs w:val="44"/>
          <w:lang w:eastAsia="zh-CN"/>
        </w:rPr>
      </w:pPr>
    </w:p>
    <w:p>
      <w:pPr>
        <w:widowControl w:val="0"/>
        <w:wordWrap/>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p>
    <w:p>
      <w:pPr>
        <w:widowControl w:val="0"/>
        <w:wordWrap/>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关于征求对《贵州省红色资源保护传承利用</w:t>
      </w:r>
    </w:p>
    <w:p>
      <w:pPr>
        <w:widowControl w:val="0"/>
        <w:wordWrap/>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条例（稿）》意见的函</w:t>
      </w:r>
    </w:p>
    <w:p>
      <w:pPr>
        <w:widowControl w:val="0"/>
        <w:wordWrap/>
        <w:adjustRightInd/>
        <w:snapToGrid/>
        <w:spacing w:line="540" w:lineRule="exact"/>
        <w:ind w:left="0" w:leftChars="0"/>
        <w:textAlignment w:val="auto"/>
        <w:outlineLvl w:val="9"/>
        <w:rPr>
          <w:rFonts w:hint="eastAsia" w:ascii="方正小标宋_GBK" w:hAnsi="方正小标宋_GBK" w:eastAsia="方正小标宋_GBK" w:cs="方正小标宋_GBK"/>
          <w:sz w:val="32"/>
          <w:szCs w:val="32"/>
          <w:lang w:eastAsia="zh-CN"/>
        </w:rPr>
      </w:pPr>
    </w:p>
    <w:p>
      <w:pPr>
        <w:widowControl w:val="0"/>
        <w:wordWrap/>
        <w:adjustRightInd/>
        <w:snapToGrid/>
        <w:spacing w:line="540" w:lineRule="exact"/>
        <w:ind w:left="0" w:leftChars="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常委会组成人员</w:t>
      </w:r>
      <w:bookmarkStart w:id="0" w:name="_GoBack"/>
      <w:bookmarkEnd w:id="0"/>
      <w:r>
        <w:rPr>
          <w:rFonts w:hint="eastAsia" w:ascii="仿宋_GB2312" w:hAnsi="仿宋_GB2312" w:eastAsia="仿宋_GB2312" w:cs="仿宋_GB2312"/>
          <w:sz w:val="32"/>
          <w:szCs w:val="32"/>
          <w:lang w:val="en-US" w:eastAsia="zh-CN"/>
        </w:rPr>
        <w:t>：</w:t>
      </w:r>
    </w:p>
    <w:p>
      <w:pPr>
        <w:widowControl w:val="0"/>
        <w:wordWrap/>
        <w:adjustRightInd/>
        <w:snapToGrid/>
        <w:spacing w:line="540" w:lineRule="exact"/>
        <w:ind w:left="0" w:leftChars="0" w:firstLine="640" w:firstLineChars="200"/>
        <w:textAlignment w:val="auto"/>
        <w:outlineLvl w:val="9"/>
        <w:rPr>
          <w:rFonts w:hint="eastAsia" w:ascii="仿宋_GB2312" w:eastAsia="仿宋_GB2312" w:cs="仿宋_GB2312"/>
          <w:sz w:val="32"/>
          <w:szCs w:val="18"/>
          <w:lang w:eastAsia="zh-CN"/>
        </w:rPr>
      </w:pPr>
      <w:r>
        <w:rPr>
          <w:rStyle w:val="8"/>
          <w:rFonts w:hint="eastAsia" w:ascii="仿宋_GB2312" w:eastAsia="仿宋_GB2312" w:cs="Times New Roman"/>
          <w:b w:val="0"/>
          <w:i w:val="0"/>
          <w:caps w:val="0"/>
          <w:smallCaps w:val="0"/>
          <w:spacing w:val="0"/>
          <w:w w:val="100"/>
          <w:kern w:val="2"/>
          <w:sz w:val="32"/>
          <w:szCs w:val="32"/>
          <w:lang w:val="en-US" w:eastAsia="zh-CN"/>
        </w:rPr>
        <w:t>为深入学习贯彻习近平文化思想、</w:t>
      </w:r>
      <w:r>
        <w:rPr>
          <w:rStyle w:val="8"/>
          <w:rFonts w:hint="eastAsia" w:ascii="仿宋_GB2312" w:eastAsia="仿宋_GB2312"/>
          <w:b w:val="0"/>
          <w:i w:val="0"/>
          <w:caps w:val="0"/>
          <w:smallCaps w:val="0"/>
          <w:spacing w:val="0"/>
          <w:w w:val="100"/>
          <w:kern w:val="2"/>
          <w:sz w:val="32"/>
          <w:szCs w:val="32"/>
          <w:lang w:val="en-US" w:eastAsia="zh-CN"/>
        </w:rPr>
        <w:t>习近平</w:t>
      </w:r>
      <w:r>
        <w:rPr>
          <w:rStyle w:val="8"/>
          <w:rFonts w:hint="eastAsia" w:ascii="仿宋_GB2312" w:eastAsia="仿宋_GB2312" w:cs="Times New Roman"/>
          <w:b w:val="0"/>
          <w:i w:val="0"/>
          <w:caps w:val="0"/>
          <w:smallCaps w:val="0"/>
          <w:spacing w:val="0"/>
          <w:w w:val="100"/>
          <w:kern w:val="2"/>
          <w:sz w:val="32"/>
          <w:szCs w:val="32"/>
          <w:lang w:val="en-US" w:eastAsia="zh-CN"/>
        </w:rPr>
        <w:t>总书记关于红色资源的重要论述，落实省委关于提升我省红色资源保护管理利用水平和红色文化整体呈现水平的决策部署，</w:t>
      </w:r>
      <w:r>
        <w:rPr>
          <w:rFonts w:hint="eastAsia" w:ascii="仿宋_GB2312" w:eastAsia="仿宋_GB2312" w:cs="楷体_GB2312"/>
          <w:bCs/>
          <w:sz w:val="32"/>
          <w:szCs w:val="32"/>
          <w:lang w:val="en-US" w:eastAsia="zh-CN"/>
        </w:rPr>
        <w:t>省人大常委会将制定《贵州省红色资源保护传承利用条例》列入2024年度立法计划，成立立法工作领导小组，组建工作专班推进立法工作。经过调研、起草、论证、修改并广泛征求意见</w:t>
      </w:r>
      <w:r>
        <w:rPr>
          <w:rStyle w:val="8"/>
          <w:rFonts w:hint="eastAsia" w:ascii="仿宋_GB2312" w:eastAsia="仿宋_GB2312" w:cs="Times New Roman"/>
          <w:b w:val="0"/>
          <w:i w:val="0"/>
          <w:caps w:val="0"/>
          <w:smallCaps w:val="0"/>
          <w:spacing w:val="0"/>
          <w:w w:val="100"/>
          <w:kern w:val="2"/>
          <w:sz w:val="32"/>
          <w:szCs w:val="32"/>
          <w:lang w:val="en-US" w:eastAsia="zh-CN"/>
        </w:rPr>
        <w:t>，形成了《贵州</w:t>
      </w:r>
      <w:r>
        <w:rPr>
          <w:rStyle w:val="8"/>
          <w:rFonts w:hint="eastAsia" w:ascii="仿宋_GB2312" w:eastAsia="仿宋_GB2312"/>
          <w:b w:val="0"/>
          <w:i w:val="0"/>
          <w:caps w:val="0"/>
          <w:smallCaps w:val="0"/>
          <w:spacing w:val="0"/>
          <w:w w:val="100"/>
          <w:kern w:val="2"/>
          <w:sz w:val="32"/>
          <w:szCs w:val="32"/>
          <w:lang w:val="en-US" w:eastAsia="zh-CN"/>
        </w:rPr>
        <w:t>省红色资源保护传承利用条例（稿）》</w:t>
      </w:r>
      <w:r>
        <w:rPr>
          <w:rFonts w:hint="eastAsia" w:ascii="仿宋_GB2312" w:hAnsi="仿宋_GB2312" w:eastAsia="仿宋_GB2312" w:cs="仿宋_GB2312"/>
          <w:sz w:val="32"/>
          <w:szCs w:val="32"/>
          <w:lang w:eastAsia="zh-CN"/>
        </w:rPr>
        <w:t>，现呈送您征求意见</w:t>
      </w:r>
      <w:r>
        <w:rPr>
          <w:rFonts w:hint="eastAsia" w:ascii="仿宋_GB2312" w:eastAsia="仿宋_GB2312" w:cs="仿宋_GB2312"/>
          <w:sz w:val="32"/>
          <w:szCs w:val="18"/>
          <w:lang w:eastAsia="zh-CN"/>
        </w:rPr>
        <w:t>。</w:t>
      </w:r>
    </w:p>
    <w:p>
      <w:pPr>
        <w:widowControl w:val="0"/>
        <w:wordWrap/>
        <w:adjustRightInd/>
        <w:snapToGrid/>
        <w:spacing w:line="540" w:lineRule="exact"/>
        <w:ind w:left="0" w:leftChars="0" w:firstLine="640" w:firstLineChars="200"/>
        <w:textAlignment w:val="auto"/>
        <w:outlineLvl w:val="9"/>
        <w:rPr>
          <w:rFonts w:hint="eastAsia"/>
          <w:lang w:val="en-US" w:eastAsia="zh-CN"/>
        </w:rPr>
      </w:pPr>
      <w:r>
        <w:rPr>
          <w:rFonts w:hint="eastAsia" w:ascii="仿宋_GB2312" w:eastAsia="仿宋_GB2312" w:cs="仿宋_GB2312"/>
          <w:sz w:val="32"/>
          <w:szCs w:val="18"/>
          <w:lang w:eastAsia="zh-CN"/>
        </w:rPr>
        <w:t>相关意见建议，请于</w:t>
      </w:r>
      <w:r>
        <w:rPr>
          <w:rFonts w:hint="eastAsia" w:ascii="仿宋_GB2312" w:eastAsia="仿宋_GB2312" w:cs="仿宋_GB2312"/>
          <w:sz w:val="32"/>
          <w:szCs w:val="18"/>
          <w:lang w:val="en-US" w:eastAsia="zh-CN"/>
        </w:rPr>
        <w:t>2024年5月7日前反馈省人大常委会法工委。</w:t>
      </w:r>
      <w:r>
        <w:rPr>
          <w:rFonts w:hint="eastAsia" w:ascii="方正小标宋_GBK" w:hAnsi="方正小标宋_GBK" w:eastAsia="方正小标宋_GBK" w:cs="方正小标宋_GBK"/>
          <w:sz w:val="32"/>
          <w:szCs w:val="32"/>
          <w:lang w:val="en-US" w:eastAsia="zh-CN"/>
        </w:rPr>
        <w:t xml:space="preserve"> </w:t>
      </w:r>
    </w:p>
    <w:p>
      <w:pPr>
        <w:widowControl w:val="0"/>
        <w:wordWrap/>
        <w:adjustRightInd/>
        <w:snapToGrid/>
        <w:spacing w:line="540" w:lineRule="exact"/>
        <w:ind w:left="0" w:leftChars="0" w:firstLine="640" w:firstLineChars="200"/>
        <w:textAlignment w:val="auto"/>
        <w:outlineLvl w:val="9"/>
        <w:rPr>
          <w:rFonts w:hint="eastAsia" w:ascii="仿宋_GB2312" w:hAnsi="仿宋_GB2312" w:eastAsia="仿宋_GB2312" w:cs="仿宋_GB2312"/>
          <w:b w:val="0"/>
          <w:bCs/>
          <w:sz w:val="32"/>
          <w:szCs w:val="32"/>
          <w:lang w:val="en-US" w:eastAsia="zh-CN"/>
        </w:rPr>
      </w:pPr>
    </w:p>
    <w:p>
      <w:pPr>
        <w:widowControl w:val="0"/>
        <w:wordWrap/>
        <w:adjustRightInd/>
        <w:snapToGrid/>
        <w:spacing w:line="540" w:lineRule="exact"/>
        <w:ind w:left="0" w:leftChars="0" w:firstLine="640" w:firstLineChars="200"/>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联系方式：任  岭（86890123  18798641185）</w:t>
      </w:r>
    </w:p>
    <w:p>
      <w:pPr>
        <w:widowControl w:val="0"/>
        <w:wordWrap/>
        <w:adjustRightInd/>
        <w:snapToGrid/>
        <w:spacing w:line="540" w:lineRule="exact"/>
        <w:ind w:left="0" w:leftChars="0" w:firstLine="640" w:firstLineChars="200"/>
        <w:textAlignment w:val="auto"/>
        <w:outlineLvl w:val="9"/>
        <w:rPr>
          <w:rFonts w:hint="default" w:ascii="仿宋_GB2312" w:hAnsi="仿宋_GB2312" w:eastAsia="仿宋_GB2312" w:cs="仿宋_GB2312"/>
          <w:b w:val="0"/>
          <w:bCs/>
          <w:sz w:val="32"/>
          <w:szCs w:val="32"/>
          <w:lang w:val="en-US" w:eastAsia="zh-CN"/>
        </w:rPr>
      </w:pPr>
      <w:r>
        <w:rPr>
          <w:rFonts w:hint="eastAsia" w:ascii="仿宋_GB2312" w:eastAsia="仿宋_GB2312"/>
          <w:sz w:val="32"/>
          <w:szCs w:val="18"/>
        </w:rPr>
        <w:t>电子邮箱：</w:t>
      </w:r>
      <w:r>
        <w:rPr>
          <w:rFonts w:hint="eastAsia" w:ascii="仿宋_GB2312" w:eastAsia="仿宋_GB2312"/>
          <w:sz w:val="32"/>
          <w:szCs w:val="32"/>
          <w:lang w:val="en-US" w:eastAsia="zh-CN"/>
        </w:rPr>
        <w:t>1647114288@qq</w:t>
      </w:r>
      <w:r>
        <w:rPr>
          <w:rFonts w:hint="eastAsia" w:ascii="仿宋_GB2312" w:eastAsia="仿宋_GB2312"/>
          <w:sz w:val="32"/>
          <w:szCs w:val="32"/>
        </w:rPr>
        <w:t>.com</w:t>
      </w:r>
    </w:p>
    <w:p>
      <w:pPr>
        <w:widowControl w:val="0"/>
        <w:wordWrap/>
        <w:adjustRightInd/>
        <w:snapToGrid/>
        <w:spacing w:line="540" w:lineRule="exact"/>
        <w:ind w:left="0" w:leftChars="0" w:firstLine="640" w:firstLineChars="200"/>
        <w:textAlignment w:val="auto"/>
        <w:outlineLvl w:val="9"/>
        <w:rPr>
          <w:rFonts w:hint="eastAsia" w:ascii="仿宋_GB2312" w:hAnsi="仿宋_GB2312" w:eastAsia="仿宋_GB2312" w:cs="仿宋_GB2312"/>
          <w:w w:val="90"/>
          <w:sz w:val="32"/>
          <w:szCs w:val="32"/>
          <w:lang w:val="en-US" w:eastAsia="zh-CN"/>
        </w:rPr>
      </w:pPr>
      <w:r>
        <w:rPr>
          <w:rFonts w:hint="eastAsia" w:ascii="仿宋_GB2312" w:hAnsi="仿宋_GB2312" w:eastAsia="仿宋_GB2312" w:cs="仿宋_GB2312"/>
          <w:sz w:val="32"/>
          <w:szCs w:val="32"/>
          <w:lang w:val="en-US" w:eastAsia="zh-CN"/>
        </w:rPr>
        <w:t>附    件：</w:t>
      </w:r>
      <w:r>
        <w:rPr>
          <w:rStyle w:val="8"/>
          <w:rFonts w:hint="eastAsia" w:ascii="仿宋_GB2312" w:eastAsia="仿宋_GB2312" w:cs="Times New Roman"/>
          <w:b w:val="0"/>
          <w:i w:val="0"/>
          <w:caps w:val="0"/>
          <w:smallCaps w:val="0"/>
          <w:spacing w:val="0"/>
          <w:w w:val="100"/>
          <w:kern w:val="2"/>
          <w:sz w:val="32"/>
          <w:szCs w:val="32"/>
          <w:lang w:val="en-US" w:eastAsia="zh-CN"/>
        </w:rPr>
        <w:t>《贵州</w:t>
      </w:r>
      <w:r>
        <w:rPr>
          <w:rStyle w:val="8"/>
          <w:rFonts w:hint="eastAsia" w:ascii="仿宋_GB2312" w:eastAsia="仿宋_GB2312"/>
          <w:b w:val="0"/>
          <w:i w:val="0"/>
          <w:caps w:val="0"/>
          <w:smallCaps w:val="0"/>
          <w:spacing w:val="0"/>
          <w:w w:val="100"/>
          <w:kern w:val="2"/>
          <w:sz w:val="32"/>
          <w:szCs w:val="32"/>
          <w:lang w:val="en-US" w:eastAsia="zh-CN"/>
        </w:rPr>
        <w:t>省红色资源保护传承利用条例（稿）》</w:t>
      </w:r>
      <w:r>
        <w:rPr>
          <w:rFonts w:hint="eastAsia" w:ascii="仿宋_GB2312" w:hAnsi="仿宋_GB2312" w:eastAsia="仿宋_GB2312" w:cs="仿宋_GB2312"/>
          <w:w w:val="90"/>
          <w:sz w:val="32"/>
          <w:szCs w:val="32"/>
          <w:lang w:val="en-US" w:eastAsia="zh-CN"/>
        </w:rPr>
        <w:t xml:space="preserve"> </w:t>
      </w:r>
    </w:p>
    <w:p>
      <w:pPr>
        <w:widowControl w:val="0"/>
        <w:wordWrap/>
        <w:adjustRightInd/>
        <w:snapToGrid/>
        <w:spacing w:line="540" w:lineRule="exact"/>
        <w:ind w:left="0" w:lef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widowControl w:val="0"/>
        <w:wordWrap/>
        <w:adjustRightInd/>
        <w:snapToGrid/>
        <w:spacing w:line="540" w:lineRule="exact"/>
        <w:ind w:left="0" w:leftChars="0" w:firstLine="5120" w:firstLineChars="1600"/>
        <w:textAlignment w:val="auto"/>
        <w:outlineLvl w:val="9"/>
        <w:rPr>
          <w:rFonts w:hint="eastAsia" w:ascii="仿宋_GB2312" w:hAnsi="仿宋_GB2312" w:eastAsia="仿宋_GB2312" w:cs="仿宋_GB2312"/>
          <w:sz w:val="32"/>
          <w:szCs w:val="32"/>
          <w:lang w:val="en-US" w:eastAsia="zh-CN"/>
        </w:rPr>
      </w:pPr>
    </w:p>
    <w:p>
      <w:pPr>
        <w:widowControl w:val="0"/>
        <w:wordWrap/>
        <w:adjustRightInd/>
        <w:snapToGrid/>
        <w:spacing w:line="540" w:lineRule="exact"/>
        <w:ind w:left="0" w:lef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省人大常委会办公厅</w:t>
      </w:r>
    </w:p>
    <w:p>
      <w:pPr>
        <w:widowControl w:val="0"/>
        <w:wordWrap/>
        <w:adjustRightInd/>
        <w:snapToGrid/>
        <w:spacing w:line="540" w:lineRule="exact"/>
        <w:ind w:left="0" w:leftChars="0" w:right="1680" w:rightChars="800" w:firstLine="0" w:firstLineChars="0"/>
        <w:jc w:val="right"/>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2024年4月29日</w:t>
      </w:r>
    </w:p>
    <w:p>
      <w:pPr>
        <w:widowControl w:val="0"/>
        <w:wordWrap/>
        <w:adjustRightInd/>
        <w:snapToGrid/>
        <w:spacing w:line="540" w:lineRule="exact"/>
        <w:ind w:left="0" w:leftChars="0" w:right="1680" w:rightChars="800" w:firstLine="0" w:firstLineChars="0"/>
        <w:jc w:val="right"/>
        <w:textAlignment w:val="auto"/>
        <w:outlineLvl w:val="9"/>
        <w:rPr>
          <w:rFonts w:hint="eastAsia" w:ascii="仿宋_GB2312" w:hAnsi="仿宋_GB2312" w:eastAsia="仿宋_GB2312" w:cs="仿宋_GB2312"/>
          <w:b w:val="0"/>
          <w:bCs/>
          <w:sz w:val="32"/>
          <w:szCs w:val="32"/>
          <w:lang w:val="en-US" w:eastAsia="zh-CN"/>
        </w:rPr>
        <w:sectPr>
          <w:headerReference r:id="rId3" w:type="default"/>
          <w:footerReference r:id="rId4" w:type="default"/>
          <w:pgSz w:w="11906" w:h="16838"/>
          <w:pgMar w:top="2098" w:right="1531" w:bottom="1984" w:left="1531" w:header="850" w:footer="1587" w:gutter="0"/>
          <w:paperSrc/>
          <w:pgNumType w:fmt="decimal" w:start="1"/>
          <w:cols w:space="720" w:num="1"/>
          <w:rtlGutter w:val="0"/>
          <w:docGrid w:type="lines" w:linePitch="289" w:charSpace="0"/>
        </w:sectPr>
      </w:pP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楷体_GB2312" w:eastAsia="楷体_GB2312" w:cs="楷体_GB2312"/>
          <w:color w:val="000000"/>
          <w:sz w:val="32"/>
          <w:szCs w:val="32"/>
        </w:rPr>
      </w:pPr>
    </w:p>
    <w:p>
      <w:pPr>
        <w:widowControl w:val="0"/>
        <w:tabs>
          <w:tab w:val="left" w:pos="6720"/>
        </w:tabs>
        <w:wordWrap/>
        <w:overflowPunct w:val="0"/>
        <w:spacing w:line="600" w:lineRule="exact"/>
        <w:ind w:left="0" w:leftChars="0" w:right="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贵州省</w:t>
      </w:r>
      <w:r>
        <w:rPr>
          <w:rFonts w:hint="eastAsia" w:ascii="方正小标宋_GBK" w:hAnsi="方正小标宋_GBK" w:eastAsia="方正小标宋_GBK" w:cs="方正小标宋_GBK"/>
          <w:sz w:val="44"/>
          <w:szCs w:val="44"/>
        </w:rPr>
        <w:t>红色资源保护传承利用条例</w:t>
      </w:r>
      <w:r>
        <w:rPr>
          <w:rFonts w:hint="eastAsia" w:ascii="方正小标宋_GBK" w:hAnsi="方正小标宋_GBK" w:eastAsia="方正小标宋_GBK" w:cs="方正小标宋_GBK"/>
          <w:sz w:val="44"/>
          <w:szCs w:val="44"/>
          <w:lang w:eastAsia="zh-CN"/>
        </w:rPr>
        <w:t>（稿）</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楷体_GB2312" w:eastAsia="楷体_GB2312" w:cs="楷体_GB2312"/>
          <w:color w:val="000000"/>
          <w:sz w:val="32"/>
          <w:szCs w:val="32"/>
        </w:rPr>
      </w:pPr>
    </w:p>
    <w:p>
      <w:pPr>
        <w:widowControl w:val="0"/>
        <w:tabs>
          <w:tab w:val="left" w:pos="6720"/>
        </w:tabs>
        <w:wordWrap/>
        <w:overflowPunct w:val="0"/>
        <w:adjustRightInd/>
        <w:snapToGrid/>
        <w:spacing w:before="290" w:beforeLines="100" w:after="290" w:afterLines="100" w:line="600" w:lineRule="exact"/>
        <w:ind w:left="0" w:leftChars="0" w:right="0" w:firstLine="0" w:firstLineChars="0"/>
        <w:jc w:val="center"/>
        <w:textAlignment w:val="auto"/>
        <w:outlineLvl w:val="9"/>
        <w:rPr>
          <w:rFonts w:hint="eastAsia" w:ascii="楷体_GB2312" w:eastAsia="楷体_GB2312" w:cs="楷体_GB2312"/>
          <w:color w:val="000000"/>
          <w:sz w:val="32"/>
          <w:szCs w:val="32"/>
        </w:rPr>
      </w:pPr>
      <w:r>
        <w:rPr>
          <w:rFonts w:hint="eastAsia" w:ascii="楷体_GB2312" w:eastAsia="楷体_GB2312" w:cs="楷体_GB2312"/>
          <w:color w:val="000000"/>
          <w:sz w:val="32"/>
          <w:szCs w:val="32"/>
        </w:rPr>
        <w:t>目  录</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楷体_GB2312" w:eastAsia="楷体_GB2312" w:cs="楷体_GB2312"/>
          <w:color w:val="000000"/>
          <w:sz w:val="32"/>
          <w:szCs w:val="32"/>
        </w:rPr>
      </w:pPr>
      <w:r>
        <w:rPr>
          <w:rFonts w:hint="eastAsia" w:ascii="楷体_GB2312" w:eastAsia="楷体_GB2312" w:cs="楷体_GB2312"/>
          <w:color w:val="000000"/>
          <w:sz w:val="32"/>
          <w:szCs w:val="32"/>
        </w:rPr>
        <w:t>第一章  总</w:t>
      </w:r>
      <w:r>
        <w:rPr>
          <w:rFonts w:ascii="楷体_GB2312" w:eastAsia="楷体_GB2312" w:cs="楷体_GB2312"/>
          <w:color w:val="000000"/>
          <w:sz w:val="32"/>
          <w:szCs w:val="32"/>
        </w:rPr>
        <w:t xml:space="preserve">  </w:t>
      </w:r>
      <w:r>
        <w:rPr>
          <w:rFonts w:hint="eastAsia" w:ascii="楷体_GB2312" w:eastAsia="楷体_GB2312" w:cs="楷体_GB2312"/>
          <w:color w:val="000000"/>
          <w:sz w:val="32"/>
          <w:szCs w:val="32"/>
        </w:rPr>
        <w:t>则</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楷体_GB2312" w:eastAsia="楷体_GB2312" w:cs="楷体_GB2312"/>
          <w:color w:val="000000"/>
          <w:sz w:val="32"/>
          <w:szCs w:val="32"/>
        </w:rPr>
      </w:pPr>
      <w:r>
        <w:rPr>
          <w:rFonts w:hint="eastAsia" w:ascii="楷体_GB2312" w:eastAsia="楷体_GB2312" w:cs="楷体_GB2312"/>
          <w:color w:val="000000"/>
          <w:sz w:val="32"/>
          <w:szCs w:val="32"/>
        </w:rPr>
        <w:t>第二章  调查认定</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楷体_GB2312" w:eastAsia="楷体_GB2312" w:cs="楷体_GB2312"/>
          <w:color w:val="000000"/>
          <w:sz w:val="32"/>
          <w:szCs w:val="32"/>
        </w:rPr>
      </w:pPr>
      <w:r>
        <w:rPr>
          <w:rFonts w:hint="eastAsia" w:ascii="楷体_GB2312" w:eastAsia="楷体_GB2312" w:cs="楷体_GB2312"/>
          <w:color w:val="000000"/>
          <w:sz w:val="32"/>
          <w:szCs w:val="32"/>
        </w:rPr>
        <w:t>第三章  保护管理</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楷体_GB2312" w:eastAsia="楷体_GB2312" w:cs="楷体_GB2312"/>
          <w:color w:val="000000"/>
          <w:sz w:val="32"/>
          <w:szCs w:val="32"/>
          <w:lang w:eastAsia="zh-CN"/>
        </w:rPr>
      </w:pPr>
      <w:r>
        <w:rPr>
          <w:rFonts w:hint="eastAsia" w:ascii="楷体_GB2312" w:eastAsia="楷体_GB2312" w:cs="楷体_GB2312"/>
          <w:color w:val="000000"/>
          <w:sz w:val="32"/>
          <w:szCs w:val="32"/>
        </w:rPr>
        <w:t>第四章</w:t>
      </w:r>
      <w:r>
        <w:rPr>
          <w:rFonts w:hint="eastAsia" w:ascii="楷体_GB2312" w:eastAsia="楷体_GB2312" w:cs="楷体_GB2312"/>
          <w:color w:val="000000"/>
          <w:sz w:val="32"/>
          <w:szCs w:val="32"/>
          <w:lang w:val="en-US" w:eastAsia="zh-CN"/>
        </w:rPr>
        <w:t xml:space="preserve">  </w:t>
      </w:r>
      <w:r>
        <w:rPr>
          <w:rFonts w:hint="eastAsia" w:ascii="楷体_GB2312" w:eastAsia="楷体_GB2312" w:cs="楷体_GB2312"/>
          <w:color w:val="000000"/>
          <w:sz w:val="32"/>
          <w:szCs w:val="32"/>
        </w:rPr>
        <w:t>传承</w:t>
      </w:r>
      <w:r>
        <w:rPr>
          <w:rFonts w:hint="eastAsia" w:ascii="楷体_GB2312" w:eastAsia="楷体_GB2312" w:cs="楷体_GB2312"/>
          <w:color w:val="000000"/>
          <w:sz w:val="32"/>
          <w:szCs w:val="32"/>
          <w:lang w:eastAsia="zh-CN"/>
        </w:rPr>
        <w:t>利用</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楷体_GB2312" w:eastAsia="楷体_GB2312" w:cs="楷体_GB2312"/>
          <w:color w:val="000000"/>
          <w:sz w:val="32"/>
          <w:szCs w:val="32"/>
        </w:rPr>
      </w:pPr>
      <w:r>
        <w:rPr>
          <w:rFonts w:hint="eastAsia" w:ascii="楷体_GB2312" w:eastAsia="楷体_GB2312" w:cs="楷体_GB2312"/>
          <w:color w:val="000000"/>
          <w:sz w:val="32"/>
          <w:szCs w:val="32"/>
        </w:rPr>
        <w:t>第五章  保障措施</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楷体_GB2312" w:eastAsia="楷体_GB2312" w:cs="楷体_GB2312"/>
          <w:color w:val="000000"/>
          <w:sz w:val="32"/>
          <w:szCs w:val="32"/>
        </w:rPr>
      </w:pPr>
      <w:r>
        <w:rPr>
          <w:rFonts w:hint="eastAsia" w:ascii="楷体_GB2312" w:eastAsia="楷体_GB2312" w:cs="楷体_GB2312"/>
          <w:color w:val="000000"/>
          <w:sz w:val="32"/>
          <w:szCs w:val="32"/>
        </w:rPr>
        <w:t>第</w:t>
      </w:r>
      <w:r>
        <w:rPr>
          <w:rFonts w:hint="eastAsia" w:ascii="楷体_GB2312" w:eastAsia="楷体_GB2312" w:cs="楷体_GB2312"/>
          <w:color w:val="000000"/>
          <w:sz w:val="32"/>
          <w:szCs w:val="32"/>
          <w:lang w:eastAsia="zh-CN"/>
        </w:rPr>
        <w:t>六</w:t>
      </w:r>
      <w:r>
        <w:rPr>
          <w:rFonts w:hint="eastAsia" w:ascii="楷体_GB2312" w:eastAsia="楷体_GB2312" w:cs="楷体_GB2312"/>
          <w:color w:val="000000"/>
          <w:sz w:val="32"/>
          <w:szCs w:val="32"/>
        </w:rPr>
        <w:t>章  法律责任</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楷体_GB2312" w:eastAsia="楷体_GB2312" w:cs="楷体_GB2312"/>
          <w:color w:val="000000"/>
          <w:sz w:val="32"/>
          <w:szCs w:val="32"/>
        </w:rPr>
      </w:pPr>
      <w:r>
        <w:rPr>
          <w:rFonts w:hint="eastAsia" w:ascii="楷体_GB2312" w:eastAsia="楷体_GB2312" w:cs="楷体_GB2312"/>
          <w:color w:val="000000"/>
          <w:sz w:val="32"/>
          <w:szCs w:val="32"/>
        </w:rPr>
        <w:t>第</w:t>
      </w:r>
      <w:r>
        <w:rPr>
          <w:rFonts w:hint="eastAsia" w:ascii="楷体_GB2312" w:eastAsia="楷体_GB2312" w:cs="楷体_GB2312"/>
          <w:color w:val="000000"/>
          <w:sz w:val="32"/>
          <w:szCs w:val="32"/>
          <w:lang w:eastAsia="zh-CN"/>
        </w:rPr>
        <w:t>七</w:t>
      </w:r>
      <w:r>
        <w:rPr>
          <w:rFonts w:hint="eastAsia" w:ascii="楷体_GB2312" w:eastAsia="楷体_GB2312" w:cs="楷体_GB2312"/>
          <w:color w:val="000000"/>
          <w:sz w:val="32"/>
          <w:szCs w:val="32"/>
        </w:rPr>
        <w:t>章  附</w:t>
      </w:r>
      <w:r>
        <w:rPr>
          <w:rFonts w:ascii="楷体_GB2312" w:eastAsia="楷体_GB2312" w:cs="楷体_GB2312"/>
          <w:color w:val="000000"/>
          <w:sz w:val="32"/>
          <w:szCs w:val="32"/>
        </w:rPr>
        <w:t xml:space="preserve">  </w:t>
      </w:r>
      <w:r>
        <w:rPr>
          <w:rFonts w:hint="eastAsia" w:ascii="楷体_GB2312" w:eastAsia="楷体_GB2312" w:cs="楷体_GB2312"/>
          <w:color w:val="000000"/>
          <w:sz w:val="32"/>
          <w:szCs w:val="32"/>
        </w:rPr>
        <w:t>则</w:t>
      </w:r>
    </w:p>
    <w:p>
      <w:pPr>
        <w:widowControl w:val="0"/>
        <w:tabs>
          <w:tab w:val="left" w:pos="6720"/>
        </w:tabs>
        <w:wordWrap/>
        <w:overflowPunct w:val="0"/>
        <w:adjustRightInd/>
        <w:snapToGrid/>
        <w:spacing w:before="290" w:beforeLines="100" w:after="290" w:afterLines="100" w:line="600" w:lineRule="exact"/>
        <w:ind w:left="0" w:leftChars="0" w:right="0" w:firstLine="0" w:firstLineChars="0"/>
        <w:jc w:val="center"/>
        <w:textAlignment w:val="auto"/>
        <w:outlineLvl w:val="9"/>
        <w:rPr>
          <w:rFonts w:hint="eastAsia" w:ascii="黑体" w:hAnsi="黑体" w:eastAsia="黑体" w:cs="黑体"/>
          <w:bCs/>
          <w:color w:val="000000"/>
          <w:sz w:val="32"/>
          <w:szCs w:val="32"/>
          <w:lang w:val="zh-CN"/>
        </w:rPr>
      </w:pPr>
      <w:r>
        <w:rPr>
          <w:rFonts w:hint="eastAsia" w:ascii="黑体" w:hAnsi="黑体" w:eastAsia="黑体" w:cs="黑体"/>
          <w:bCs/>
          <w:color w:val="000000"/>
          <w:sz w:val="32"/>
          <w:szCs w:val="32"/>
          <w:lang w:val="zh-CN"/>
        </w:rPr>
        <w:t>第一章  总</w:t>
      </w:r>
      <w:r>
        <w:rPr>
          <w:rFonts w:hint="eastAsia" w:ascii="黑体" w:hAnsi="黑体" w:eastAsia="黑体" w:cs="黑体"/>
          <w:bCs/>
          <w:color w:val="000000"/>
          <w:sz w:val="32"/>
          <w:szCs w:val="32"/>
          <w:lang w:val="en-US" w:eastAsia="zh-CN"/>
        </w:rPr>
        <w:t xml:space="preserve">  </w:t>
      </w:r>
      <w:r>
        <w:rPr>
          <w:rFonts w:hint="eastAsia" w:ascii="黑体" w:hAnsi="黑体" w:eastAsia="黑体" w:cs="黑体"/>
          <w:bCs/>
          <w:color w:val="000000"/>
          <w:sz w:val="32"/>
          <w:szCs w:val="32"/>
          <w:lang w:val="zh-CN"/>
        </w:rPr>
        <w:t>则</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仿宋_GB2312" w:hAnsi="仿宋_GB2312" w:eastAsia="仿宋_GB2312" w:cs="仿宋_GB2312"/>
          <w:color w:val="000000"/>
          <w:kern w:val="2"/>
          <w:sz w:val="32"/>
          <w:szCs w:val="32"/>
          <w:lang w:val="zh-CN" w:eastAsia="zh-CN" w:bidi="ar-SA"/>
        </w:rPr>
      </w:pPr>
      <w:r>
        <w:rPr>
          <w:rFonts w:hint="eastAsia" w:ascii="黑体" w:hAnsi="黑体" w:eastAsia="黑体" w:cs="黑体"/>
          <w:color w:val="000000"/>
          <w:sz w:val="32"/>
          <w:szCs w:val="32"/>
          <w:lang w:val="zh-CN"/>
        </w:rPr>
        <w:t>第一条</w:t>
      </w:r>
      <w:r>
        <w:rPr>
          <w:rFonts w:hint="eastAsia" w:ascii="仿宋_GB2312" w:hAnsi="仿宋_GB2312" w:eastAsia="仿宋_GB2312" w:cs="仿宋_GB2312"/>
          <w:color w:val="000000"/>
          <w:sz w:val="32"/>
          <w:szCs w:val="32"/>
          <w:lang w:val="zh-CN"/>
        </w:rPr>
        <w:t xml:space="preserve">  为了加强对红色资源的保护利用，彰显贵州作为中国共产党和中国革命伟大转折之地的历史地位，弘扬伟大的长征精神、遵义会议精神，传承红色基因，赓续红色血脉，培育和践行社会主义核心价值观，根据有关法律、行政法规，结合本省实际，制定本条例。</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黑体" w:hAnsi="黑体" w:eastAsia="黑体" w:cs="黑体"/>
          <w:color w:val="000000"/>
          <w:sz w:val="32"/>
          <w:szCs w:val="32"/>
          <w:lang w:val="zh-CN"/>
        </w:rPr>
        <w:t>第二条</w:t>
      </w:r>
      <w:r>
        <w:rPr>
          <w:rFonts w:hint="eastAsia" w:ascii="仿宋_GB2312" w:hAnsi="仿宋_GB2312" w:eastAsia="仿宋_GB2312" w:cs="仿宋_GB2312"/>
          <w:color w:val="000000"/>
          <w:sz w:val="32"/>
          <w:szCs w:val="32"/>
          <w:lang w:val="zh-CN"/>
        </w:rPr>
        <w:t xml:space="preserve">  本省行政区域内红色资源的调查认定、保护管理、传承利用以及相关保障措施，适用本条例。</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红色资源中涉及的有关文物、档案、烈士纪念设施、历史建筑、遗址遗迹等，法律、法规已有规定的，从其规定。</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黑体" w:hAnsi="黑体" w:eastAsia="黑体" w:cs="黑体"/>
          <w:color w:val="000000"/>
          <w:sz w:val="32"/>
          <w:szCs w:val="32"/>
          <w:lang w:val="zh-CN"/>
        </w:rPr>
        <w:t>第三条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zh-CN"/>
        </w:rPr>
        <w:t>本条例所称的红色资源，是指中国共产党领导下，在新民主主义革命时期、社会主义革命和建设时期、改革开放和社会主义现代化建设新时期、中国特色社会主义新时代所形成的具有历史价值、教育意义、纪念意义的物质资源和精神资源。主要包括：重要旧址、遗址、纪念设施或者场所等；重要档案、文献、手稿、声像资料、口述历史资料和实物等；具有代表性的其他资源。</w:t>
      </w:r>
    </w:p>
    <w:p>
      <w:pPr>
        <w:widowControl w:val="0"/>
        <w:pBdr>
          <w:top w:val="none" w:color="auto" w:sz="0" w:space="0"/>
          <w:left w:val="none" w:color="auto" w:sz="0" w:space="0"/>
          <w:bottom w:val="none" w:color="auto" w:sz="0" w:space="0"/>
          <w:right w:val="none" w:color="auto" w:sz="0" w:space="0"/>
        </w:pBdr>
        <w:tabs>
          <w:tab w:val="left" w:pos="6720"/>
        </w:tabs>
        <w:wordWrap/>
        <w:overflowPunct w:val="0"/>
        <w:spacing w:beforeAutospacing="0" w:afterAutospacing="0"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黑体" w:hAnsi="黑体" w:eastAsia="黑体" w:cs="黑体"/>
          <w:color w:val="000000"/>
          <w:sz w:val="32"/>
          <w:szCs w:val="32"/>
          <w:lang w:val="zh-CN"/>
        </w:rPr>
        <w:t>第四条</w:t>
      </w:r>
      <w:r>
        <w:rPr>
          <w:rFonts w:hint="eastAsia" w:ascii="仿宋_GB2312" w:hAnsi="仿宋_GB2312" w:eastAsia="仿宋_GB2312" w:cs="仿宋_GB2312"/>
          <w:color w:val="000000"/>
          <w:sz w:val="32"/>
          <w:szCs w:val="32"/>
          <w:lang w:val="zh-CN"/>
        </w:rPr>
        <w:t xml:space="preserve">  红色资源的保护传承利用，坚持中国共产党的领导，坚持尊重史实、科学认定、依法保护、合理利用、赓续传承的原则，实行党委领导、政府负责、部门协同、社会参与的工作机制。</w:t>
      </w:r>
    </w:p>
    <w:p>
      <w:pPr>
        <w:widowControl w:val="0"/>
        <w:numPr>
          <w:ilvl w:val="0"/>
          <w:numId w:val="0"/>
        </w:numPr>
        <w:pBdr>
          <w:top w:val="none" w:color="auto" w:sz="0" w:space="0"/>
          <w:left w:val="none" w:color="auto" w:sz="0" w:space="0"/>
          <w:bottom w:val="none" w:color="auto" w:sz="0" w:space="0"/>
          <w:right w:val="none" w:color="auto" w:sz="0" w:space="0"/>
        </w:pBdr>
        <w:tabs>
          <w:tab w:val="left" w:pos="6720"/>
        </w:tabs>
        <w:wordWrap/>
        <w:overflowPunct w:val="0"/>
        <w:spacing w:beforeAutospacing="0" w:afterAutospacing="0" w:line="600" w:lineRule="exact"/>
        <w:ind w:left="0" w:leftChars="0" w:right="0" w:firstLine="640" w:firstLineChars="200"/>
        <w:jc w:val="both"/>
        <w:textAlignment w:val="auto"/>
        <w:outlineLvl w:val="9"/>
        <w:rPr>
          <w:rFonts w:hint="eastAsia" w:ascii="仿宋_GB2312" w:eastAsia="仿宋_GB2312" w:cs="仿宋_GB2312"/>
          <w:color w:val="000000"/>
          <w:sz w:val="32"/>
          <w:szCs w:val="32"/>
          <w:lang w:val="zh-CN"/>
        </w:rPr>
      </w:pPr>
      <w:r>
        <w:rPr>
          <w:rFonts w:hint="eastAsia" w:ascii="黑体" w:hAnsi="黑体" w:eastAsia="黑体" w:cs="黑体"/>
          <w:color w:val="000000"/>
          <w:sz w:val="32"/>
          <w:szCs w:val="32"/>
          <w:lang w:val="en-US" w:eastAsia="zh-CN"/>
        </w:rPr>
        <w:t xml:space="preserve">第五条  </w:t>
      </w:r>
      <w:r>
        <w:rPr>
          <w:rFonts w:hint="eastAsia" w:ascii="仿宋_GB2312" w:hAnsi="仿宋_GB2312" w:eastAsia="仿宋_GB2312" w:cs="仿宋_GB2312"/>
          <w:color w:val="000000"/>
          <w:sz w:val="32"/>
          <w:szCs w:val="32"/>
          <w:lang w:val="zh-CN"/>
        </w:rPr>
        <w:t>省、市州按照规定建立</w:t>
      </w:r>
      <w:r>
        <w:rPr>
          <w:rFonts w:hint="eastAsia" w:ascii="仿宋_GB2312" w:eastAsia="仿宋_GB2312" w:cs="仿宋_GB2312"/>
          <w:color w:val="000000"/>
          <w:sz w:val="32"/>
          <w:szCs w:val="32"/>
          <w:lang w:val="zh-CN"/>
        </w:rPr>
        <w:t>以党委宣传部门牵头，有关部门和机构为成员单位的</w:t>
      </w:r>
      <w:r>
        <w:rPr>
          <w:rFonts w:hint="eastAsia" w:ascii="仿宋_GB2312" w:hAnsi="仿宋_GB2312" w:eastAsia="仿宋_GB2312" w:cs="仿宋_GB2312"/>
          <w:color w:val="000000"/>
          <w:sz w:val="32"/>
          <w:szCs w:val="32"/>
          <w:lang w:val="zh-CN"/>
        </w:rPr>
        <w:t>红色资源保护管理利用工作联席会议机制，统筹谋划、研究讨论、协调推进红色资源保护传承利用工作</w:t>
      </w:r>
      <w:r>
        <w:rPr>
          <w:rFonts w:hint="eastAsia" w:ascii="仿宋_GB2312" w:eastAsia="仿宋_GB2312" w:cs="仿宋_GB2312"/>
          <w:color w:val="000000"/>
          <w:sz w:val="32"/>
          <w:szCs w:val="32"/>
          <w:lang w:val="zh-CN"/>
        </w:rPr>
        <w:t>。</w:t>
      </w:r>
    </w:p>
    <w:p>
      <w:pPr>
        <w:widowControl w:val="0"/>
        <w:tabs>
          <w:tab w:val="left" w:pos="6720"/>
        </w:tabs>
        <w:wordWrap/>
        <w:overflowPunct w:val="0"/>
        <w:autoSpaceDE w:val="0"/>
        <w:spacing w:line="600" w:lineRule="exact"/>
        <w:ind w:left="0" w:leftChars="0" w:right="0" w:firstLine="640" w:firstLineChars="200"/>
        <w:jc w:val="both"/>
        <w:textAlignment w:val="auto"/>
        <w:outlineLvl w:val="9"/>
        <w:rPr>
          <w:rFonts w:hint="default" w:eastAsia="仿宋_GB2312"/>
          <w:sz w:val="32"/>
          <w:szCs w:val="32"/>
          <w:lang w:val="en-US" w:eastAsia="zh-CN"/>
        </w:rPr>
      </w:pPr>
      <w:r>
        <w:rPr>
          <w:rFonts w:hint="eastAsia" w:ascii="仿宋_GB2312" w:eastAsia="仿宋_GB2312"/>
          <w:sz w:val="32"/>
          <w:szCs w:val="32"/>
        </w:rPr>
        <w:t>县</w:t>
      </w:r>
      <w:r>
        <w:rPr>
          <w:rFonts w:hint="eastAsia" w:ascii="仿宋_GB2312" w:eastAsia="仿宋_GB2312"/>
          <w:sz w:val="32"/>
          <w:szCs w:val="32"/>
          <w:lang w:eastAsia="zh-CN"/>
        </w:rPr>
        <w:t>级</w:t>
      </w:r>
      <w:r>
        <w:rPr>
          <w:rFonts w:hint="eastAsia" w:ascii="仿宋_GB2312" w:eastAsia="仿宋_GB2312"/>
          <w:sz w:val="32"/>
          <w:szCs w:val="32"/>
        </w:rPr>
        <w:t>可以根据实际情况，</w:t>
      </w:r>
      <w:r>
        <w:rPr>
          <w:rFonts w:hint="eastAsia" w:ascii="仿宋_GB2312" w:eastAsia="仿宋_GB2312"/>
          <w:sz w:val="32"/>
          <w:szCs w:val="32"/>
          <w:lang w:eastAsia="zh-CN"/>
        </w:rPr>
        <w:t>参照前款规定</w:t>
      </w:r>
      <w:r>
        <w:rPr>
          <w:rFonts w:hint="eastAsia" w:ascii="仿宋_GB2312" w:eastAsia="仿宋_GB2312"/>
          <w:sz w:val="32"/>
          <w:szCs w:val="32"/>
        </w:rPr>
        <w:t>建立本行政区域内的</w:t>
      </w:r>
      <w:r>
        <w:rPr>
          <w:rFonts w:hint="eastAsia" w:ascii="仿宋_GB2312" w:hAnsi="仿宋_GB2312" w:eastAsia="仿宋_GB2312" w:cs="仿宋_GB2312"/>
          <w:color w:val="000000"/>
          <w:sz w:val="32"/>
          <w:szCs w:val="32"/>
          <w:lang w:val="zh-CN"/>
        </w:rPr>
        <w:t>红色资源保护管理利用工作</w:t>
      </w:r>
      <w:r>
        <w:rPr>
          <w:rFonts w:hint="eastAsia" w:ascii="仿宋_GB2312" w:eastAsia="仿宋_GB2312"/>
          <w:sz w:val="32"/>
          <w:szCs w:val="32"/>
          <w:lang w:eastAsia="zh-CN"/>
        </w:rPr>
        <w:t>联席会议</w:t>
      </w:r>
      <w:r>
        <w:rPr>
          <w:rFonts w:hint="eastAsia" w:ascii="仿宋_GB2312" w:eastAsia="仿宋_GB2312"/>
          <w:sz w:val="32"/>
          <w:szCs w:val="32"/>
        </w:rPr>
        <w:t>机制。</w:t>
      </w:r>
    </w:p>
    <w:p>
      <w:pPr>
        <w:widowControl w:val="0"/>
        <w:pBdr>
          <w:top w:val="none" w:color="auto" w:sz="0" w:space="0"/>
          <w:left w:val="none" w:color="auto" w:sz="0" w:space="0"/>
          <w:bottom w:val="none" w:color="auto" w:sz="0" w:space="0"/>
          <w:right w:val="none" w:color="auto" w:sz="0" w:space="0"/>
        </w:pBdr>
        <w:tabs>
          <w:tab w:val="left" w:pos="6720"/>
        </w:tabs>
        <w:wordWrap/>
        <w:overflowPunct w:val="0"/>
        <w:spacing w:beforeAutospacing="0" w:afterAutospacing="0" w:line="600" w:lineRule="exact"/>
        <w:ind w:left="0" w:leftChars="0" w:right="0" w:firstLine="640" w:firstLineChars="200"/>
        <w:jc w:val="both"/>
        <w:textAlignment w:val="auto"/>
        <w:outlineLvl w:val="9"/>
        <w:rPr>
          <w:rFonts w:hint="eastAsia" w:ascii="仿宋_GB2312" w:eastAsia="仿宋_GB2312" w:cs="仿宋_GB2312"/>
          <w:color w:val="000000"/>
          <w:sz w:val="32"/>
          <w:szCs w:val="32"/>
          <w:lang w:val="zh-CN"/>
        </w:rPr>
      </w:pPr>
      <w:r>
        <w:rPr>
          <w:rFonts w:hint="eastAsia" w:ascii="仿宋_GB2312" w:eastAsia="仿宋_GB2312" w:cs="仿宋_GB2312"/>
          <w:color w:val="000000"/>
          <w:sz w:val="32"/>
          <w:szCs w:val="32"/>
          <w:lang w:val="zh-CN"/>
        </w:rPr>
        <w:t>联席会议办事机构负责红色资源保护管理利用的组织</w:t>
      </w:r>
      <w:r>
        <w:rPr>
          <w:rFonts w:hint="eastAsia" w:ascii="仿宋_GB2312" w:eastAsia="仿宋_GB2312" w:cs="仿宋_GB2312"/>
          <w:strike w:val="0"/>
          <w:dstrike w:val="0"/>
          <w:color w:val="000000"/>
          <w:sz w:val="32"/>
          <w:szCs w:val="32"/>
          <w:lang w:val="zh-CN"/>
        </w:rPr>
        <w:t>工作</w:t>
      </w:r>
      <w:r>
        <w:rPr>
          <w:rFonts w:hint="eastAsia" w:ascii="仿宋_GB2312" w:eastAsia="仿宋_GB2312" w:cs="仿宋_GB2312"/>
          <w:color w:val="000000"/>
          <w:sz w:val="32"/>
          <w:szCs w:val="32"/>
          <w:lang w:val="zh-CN"/>
        </w:rPr>
        <w:t>，落实综合协调、评价评估、公开公布、督促检查以及联席会议交办的其他工作。</w:t>
      </w:r>
    </w:p>
    <w:p>
      <w:pPr>
        <w:widowControl w:val="0"/>
        <w:pBdr>
          <w:top w:val="none" w:color="auto" w:sz="0" w:space="0"/>
          <w:left w:val="none" w:color="auto" w:sz="0" w:space="0"/>
          <w:bottom w:val="none" w:color="auto" w:sz="0" w:space="0"/>
          <w:right w:val="none" w:color="auto" w:sz="0" w:space="0"/>
        </w:pBdr>
        <w:tabs>
          <w:tab w:val="left" w:pos="6720"/>
        </w:tabs>
        <w:wordWrap/>
        <w:overflowPunct w:val="0"/>
        <w:spacing w:beforeAutospacing="0" w:afterAutospacing="0"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黑体" w:hAnsi="黑体" w:eastAsia="黑体" w:cs="黑体"/>
          <w:color w:val="000000"/>
          <w:sz w:val="32"/>
          <w:szCs w:val="32"/>
          <w:lang w:val="zh-CN"/>
        </w:rPr>
        <w:t>第六条</w:t>
      </w:r>
      <w:r>
        <w:rPr>
          <w:rFonts w:hint="eastAsia" w:ascii="仿宋_GB2312" w:hAnsi="仿宋_GB2312" w:eastAsia="仿宋_GB2312" w:cs="仿宋_GB2312"/>
          <w:color w:val="000000"/>
          <w:sz w:val="32"/>
          <w:szCs w:val="32"/>
          <w:lang w:val="zh-CN"/>
        </w:rPr>
        <w:t xml:space="preserve">  县级以上人民政府负责本行政区域内红色资源保护传承利用工作，将红色资源保护传承利用纳入国民经济和社会发展规划，建立与红色资源保护传承利用需求相适应的经费保障机制。</w:t>
      </w:r>
    </w:p>
    <w:p>
      <w:pPr>
        <w:widowControl w:val="0"/>
        <w:pBdr>
          <w:top w:val="none" w:color="auto" w:sz="0" w:space="0"/>
          <w:left w:val="none" w:color="auto" w:sz="0" w:space="0"/>
          <w:bottom w:val="none" w:color="auto" w:sz="0" w:space="0"/>
          <w:right w:val="none" w:color="auto" w:sz="0" w:space="0"/>
        </w:pBdr>
        <w:tabs>
          <w:tab w:val="left" w:pos="6720"/>
        </w:tabs>
        <w:wordWrap/>
        <w:overflowPunct w:val="0"/>
        <w:spacing w:beforeAutospacing="0" w:afterAutospacing="0"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乡镇人民政府、街道办事处按照职责做好本区域内红色资源保护传承利用工作。</w:t>
      </w:r>
    </w:p>
    <w:p>
      <w:pPr>
        <w:widowControl w:val="0"/>
        <w:pBdr>
          <w:top w:val="none" w:color="auto" w:sz="0" w:space="0"/>
          <w:left w:val="none" w:color="auto" w:sz="0" w:space="0"/>
          <w:bottom w:val="none" w:color="auto" w:sz="0" w:space="0"/>
          <w:right w:val="none" w:color="auto" w:sz="0" w:space="0"/>
        </w:pBdr>
        <w:tabs>
          <w:tab w:val="left" w:pos="6720"/>
        </w:tabs>
        <w:wordWrap/>
        <w:overflowPunct w:val="0"/>
        <w:spacing w:beforeAutospacing="0" w:afterAutospacing="0"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村民委员会、居民委员会协助做好红色资源保护传承利用相关工作。</w:t>
      </w:r>
    </w:p>
    <w:p>
      <w:pPr>
        <w:widowControl w:val="0"/>
        <w:numPr>
          <w:ilvl w:val="0"/>
          <w:numId w:val="1"/>
        </w:numPr>
        <w:pBdr>
          <w:top w:val="none" w:color="auto" w:sz="0" w:space="0"/>
          <w:left w:val="none" w:color="auto" w:sz="0" w:space="0"/>
          <w:bottom w:val="none" w:color="auto" w:sz="0" w:space="0"/>
          <w:right w:val="none" w:color="auto" w:sz="0" w:space="0"/>
        </w:pBdr>
        <w:tabs>
          <w:tab w:val="left" w:pos="6720"/>
        </w:tabs>
        <w:wordWrap/>
        <w:overflowPunct w:val="0"/>
        <w:spacing w:beforeAutospacing="0" w:afterAutospacing="0" w:line="600" w:lineRule="exact"/>
        <w:ind w:left="0" w:leftChars="0" w:right="0" w:firstLine="640" w:firstLineChars="200"/>
        <w:jc w:val="both"/>
        <w:textAlignment w:val="auto"/>
        <w:outlineLvl w:val="9"/>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党史部门负责红色纪念场馆（所）的展览陈列、解说词等内容的审核把关和涉及红色资源的文艺、影视、戏剧等作品的审读审看等工作。</w:t>
      </w:r>
    </w:p>
    <w:p>
      <w:pPr>
        <w:widowControl w:val="0"/>
        <w:pBdr>
          <w:top w:val="none" w:color="auto" w:sz="0" w:space="0"/>
          <w:left w:val="none" w:color="auto" w:sz="0" w:space="0"/>
          <w:bottom w:val="none" w:color="auto" w:sz="0" w:space="0"/>
          <w:right w:val="none" w:color="auto" w:sz="0" w:space="0"/>
        </w:pBdr>
        <w:tabs>
          <w:tab w:val="left" w:pos="6720"/>
        </w:tabs>
        <w:wordWrap/>
        <w:overflowPunct w:val="0"/>
        <w:spacing w:beforeAutospacing="0" w:afterAutospacing="0"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文化和旅游</w:t>
      </w:r>
      <w:r>
        <w:rPr>
          <w:rFonts w:hint="eastAsia" w:ascii="仿宋_GB2312" w:hAnsi="仿宋_GB2312" w:eastAsia="仿宋_GB2312" w:cs="仿宋_GB2312"/>
          <w:color w:val="000000"/>
          <w:sz w:val="32"/>
          <w:szCs w:val="32"/>
          <w:lang w:val="zh-CN" w:eastAsia="zh-CN"/>
        </w:rPr>
        <w:t>（文物）</w:t>
      </w:r>
      <w:r>
        <w:rPr>
          <w:rFonts w:hint="eastAsia" w:ascii="仿宋_GB2312" w:hAnsi="仿宋_GB2312" w:eastAsia="仿宋_GB2312" w:cs="仿宋_GB2312"/>
          <w:color w:val="000000"/>
          <w:sz w:val="32"/>
          <w:szCs w:val="32"/>
          <w:lang w:val="zh-CN"/>
        </w:rPr>
        <w:t>部门负责红色资源中文物和文化资源保护传承利用工作，推动相关的公共文化和旅游服务等工作。</w:t>
      </w:r>
    </w:p>
    <w:p>
      <w:pPr>
        <w:widowControl w:val="0"/>
        <w:pBdr>
          <w:top w:val="none" w:color="auto" w:sz="0" w:space="0"/>
          <w:left w:val="none" w:color="auto" w:sz="0" w:space="0"/>
          <w:bottom w:val="none" w:color="auto" w:sz="0" w:space="0"/>
          <w:right w:val="none" w:color="auto" w:sz="0" w:space="0"/>
        </w:pBdr>
        <w:tabs>
          <w:tab w:val="left" w:pos="6720"/>
        </w:tabs>
        <w:wordWrap/>
        <w:overflowPunct w:val="0"/>
        <w:spacing w:beforeAutospacing="0" w:afterAutospacing="0"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退役军人部门负责与英雄烈士相关的红色资源保护传承利用工作。</w:t>
      </w:r>
    </w:p>
    <w:p>
      <w:pPr>
        <w:widowControl w:val="0"/>
        <w:pBdr>
          <w:top w:val="none" w:color="auto" w:sz="0" w:space="0"/>
          <w:left w:val="none" w:color="auto" w:sz="0" w:space="0"/>
          <w:bottom w:val="none" w:color="auto" w:sz="0" w:space="0"/>
          <w:right w:val="none" w:color="auto" w:sz="0" w:space="0"/>
        </w:pBdr>
        <w:tabs>
          <w:tab w:val="left" w:pos="6720"/>
        </w:tabs>
        <w:wordWrap/>
        <w:overflowPunct w:val="0"/>
        <w:spacing w:beforeAutospacing="0" w:afterAutospacing="0"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住房城乡建设部门负责与历史文化名城名镇名村保护、城乡历史文化保护传承相关的红色资源保护传承利用工作。</w:t>
      </w:r>
    </w:p>
    <w:p>
      <w:pPr>
        <w:widowControl w:val="0"/>
        <w:pBdr>
          <w:top w:val="none" w:color="auto" w:sz="0" w:space="0"/>
          <w:left w:val="none" w:color="auto" w:sz="0" w:space="0"/>
          <w:bottom w:val="none" w:color="auto" w:sz="0" w:space="0"/>
          <w:right w:val="none" w:color="auto" w:sz="0" w:space="0"/>
        </w:pBdr>
        <w:tabs>
          <w:tab w:val="left" w:pos="6720"/>
        </w:tabs>
        <w:wordWrap/>
        <w:overflowPunct w:val="0"/>
        <w:spacing w:beforeAutospacing="0" w:afterAutospacing="0"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档案部门负责监督指导和开展档案文献中红色资源的保护传承利用工作。</w:t>
      </w:r>
    </w:p>
    <w:p>
      <w:pPr>
        <w:widowControl w:val="0"/>
        <w:pBdr>
          <w:top w:val="none" w:color="auto" w:sz="0" w:space="0"/>
          <w:left w:val="none" w:color="auto" w:sz="0" w:space="0"/>
          <w:bottom w:val="none" w:color="auto" w:sz="0" w:space="0"/>
          <w:right w:val="none" w:color="auto" w:sz="0" w:space="0"/>
        </w:pBdr>
        <w:tabs>
          <w:tab w:val="left" w:pos="6720"/>
        </w:tabs>
        <w:wordWrap/>
        <w:overflowPunct w:val="0"/>
        <w:spacing w:beforeAutospacing="0" w:afterAutospacing="0"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教育部门负责指导学校利用红色资源开展教育工作。</w:t>
      </w:r>
    </w:p>
    <w:p>
      <w:pPr>
        <w:widowControl w:val="0"/>
        <w:pBdr>
          <w:top w:val="none" w:color="auto" w:sz="0" w:space="0"/>
          <w:left w:val="none" w:color="auto" w:sz="0" w:space="0"/>
          <w:bottom w:val="none" w:color="auto" w:sz="0" w:space="0"/>
          <w:right w:val="none" w:color="auto" w:sz="0" w:space="0"/>
        </w:pBdr>
        <w:tabs>
          <w:tab w:val="left" w:pos="6720"/>
        </w:tabs>
        <w:wordWrap/>
        <w:overflowPunct w:val="0"/>
        <w:spacing w:beforeAutospacing="0" w:afterAutospacing="0"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其他有关部门和单位在各自职责范围内，做好红色资源保护传承利用相关工作。</w:t>
      </w:r>
    </w:p>
    <w:p>
      <w:pPr>
        <w:widowControl w:val="0"/>
        <w:pBdr>
          <w:top w:val="none" w:color="auto" w:sz="0" w:space="0"/>
          <w:left w:val="none" w:color="auto" w:sz="0" w:space="0"/>
          <w:bottom w:val="none" w:color="auto" w:sz="0" w:space="0"/>
          <w:right w:val="none" w:color="auto" w:sz="0" w:space="0"/>
        </w:pBdr>
        <w:tabs>
          <w:tab w:val="left" w:pos="6720"/>
        </w:tabs>
        <w:wordWrap/>
        <w:overflowPunct w:val="0"/>
        <w:spacing w:beforeAutospacing="0" w:afterAutospacing="0"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黑体" w:hAnsi="黑体" w:eastAsia="黑体" w:cs="黑体"/>
          <w:color w:val="000000"/>
          <w:sz w:val="32"/>
          <w:szCs w:val="32"/>
          <w:lang w:val="zh-CN"/>
        </w:rPr>
        <w:t>第八条</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lang w:val="zh-CN"/>
        </w:rPr>
        <w:t>工会、共青团、妇联等群团组织应当发挥各自优势，组织开展红色资源保护传承利用工作。</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zh-CN"/>
        </w:rPr>
        <w:t xml:space="preserve">第九条 </w:t>
      </w:r>
      <w:r>
        <w:rPr>
          <w:rFonts w:hint="eastAsia" w:ascii="黑体" w:hAnsi="黑体" w:eastAsia="黑体" w:cs="黑体"/>
          <w:color w:val="000000"/>
          <w:sz w:val="32"/>
          <w:szCs w:val="32"/>
          <w:lang w:val="en-US" w:eastAsia="zh-CN"/>
        </w:rPr>
        <w:t xml:space="preserve"> </w:t>
      </w:r>
      <w:r>
        <w:rPr>
          <w:rFonts w:hint="eastAsia" w:ascii="仿宋_GB2312" w:eastAsia="仿宋_GB2312" w:cs="仿宋_GB2312"/>
          <w:sz w:val="32"/>
          <w:szCs w:val="32"/>
        </w:rPr>
        <w:t>加强红色资源</w:t>
      </w:r>
      <w:r>
        <w:rPr>
          <w:rFonts w:hint="eastAsia" w:ascii="仿宋_GB2312" w:eastAsia="仿宋_GB2312" w:cs="仿宋_GB2312"/>
          <w:sz w:val="32"/>
          <w:szCs w:val="32"/>
          <w:lang w:eastAsia="zh-CN"/>
        </w:rPr>
        <w:t>保护传承利用</w:t>
      </w:r>
      <w:r>
        <w:rPr>
          <w:rFonts w:hint="eastAsia" w:ascii="仿宋_GB2312" w:eastAsia="仿宋_GB2312" w:cs="仿宋_GB2312"/>
          <w:sz w:val="32"/>
          <w:szCs w:val="32"/>
        </w:rPr>
        <w:t>交流合作</w:t>
      </w:r>
      <w:r>
        <w:rPr>
          <w:rFonts w:hint="eastAsia" w:ascii="仿宋_GB2312" w:eastAsia="仿宋_GB2312" w:cs="仿宋_GB2312"/>
          <w:sz w:val="32"/>
          <w:szCs w:val="32"/>
          <w:lang w:eastAsia="zh-CN"/>
        </w:rPr>
        <w:t>，</w:t>
      </w:r>
      <w:r>
        <w:rPr>
          <w:rFonts w:hint="eastAsia" w:ascii="仿宋_GB2312" w:eastAsia="仿宋_GB2312" w:cs="仿宋_GB2312"/>
          <w:sz w:val="32"/>
          <w:szCs w:val="32"/>
        </w:rPr>
        <w:t>推动建立红色资源保护</w:t>
      </w:r>
      <w:r>
        <w:rPr>
          <w:rFonts w:hint="eastAsia" w:ascii="仿宋_GB2312" w:eastAsia="仿宋_GB2312" w:cs="仿宋_GB2312"/>
          <w:sz w:val="32"/>
          <w:szCs w:val="32"/>
          <w:lang w:eastAsia="zh-CN"/>
        </w:rPr>
        <w:t>传承</w:t>
      </w:r>
      <w:r>
        <w:rPr>
          <w:rFonts w:hint="eastAsia" w:ascii="仿宋_GB2312" w:eastAsia="仿宋_GB2312" w:cs="仿宋_GB2312"/>
          <w:sz w:val="32"/>
          <w:szCs w:val="32"/>
        </w:rPr>
        <w:t>利用协同合作、全国性相同类型纪念场馆联盟等跨区域合作机制，支持相邻地区或者相同类型的红色资源管理单位组建合作联盟。</w:t>
      </w:r>
    </w:p>
    <w:p>
      <w:pPr>
        <w:widowControl w:val="0"/>
        <w:tabs>
          <w:tab w:val="left" w:pos="6720"/>
        </w:tabs>
        <w:wordWrap/>
        <w:overflowPunct w:val="0"/>
        <w:topLinePunct/>
        <w:adjustRightInd w:val="0"/>
        <w:snapToGrid w:val="0"/>
        <w:spacing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黑体" w:hAnsi="黑体" w:eastAsia="黑体" w:cs="黑体"/>
          <w:color w:val="000000"/>
          <w:sz w:val="32"/>
          <w:szCs w:val="32"/>
          <w:lang w:val="zh-CN"/>
        </w:rPr>
        <w:t>第十条　</w:t>
      </w:r>
      <w:r>
        <w:rPr>
          <w:rFonts w:hint="eastAsia" w:ascii="仿宋_GB2312" w:hAnsi="仿宋_GB2312" w:eastAsia="仿宋_GB2312" w:cs="仿宋_GB2312"/>
          <w:color w:val="000000"/>
          <w:sz w:val="32"/>
          <w:szCs w:val="32"/>
          <w:lang w:val="zh-CN"/>
        </w:rPr>
        <w:t>任何单位和个人都有依法保护红色资源的义务，有权对破坏、损毁、侵占或者歪曲、丑化、亵渎、否定红色资源的行为进行劝阻、投诉、举报，有关部门接到投诉、举报应当依法及时处理。</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黑体" w:cs="Times New Roman"/>
          <w:bCs/>
          <w:color w:val="000000"/>
          <w:sz w:val="32"/>
          <w:szCs w:val="32"/>
        </w:rPr>
        <w:t>第</w:t>
      </w:r>
      <w:r>
        <w:rPr>
          <w:rFonts w:hint="eastAsia" w:ascii="仿宋_GB2312" w:hAnsi="仿宋_GB2312" w:eastAsia="黑体" w:cs="Times New Roman"/>
          <w:bCs/>
          <w:color w:val="000000"/>
          <w:sz w:val="32"/>
          <w:szCs w:val="32"/>
          <w:lang w:eastAsia="zh-CN"/>
        </w:rPr>
        <w:t>十一</w:t>
      </w:r>
      <w:r>
        <w:rPr>
          <w:rFonts w:hint="eastAsia" w:ascii="仿宋_GB2312" w:hAnsi="仿宋_GB2312" w:eastAsia="黑体" w:cs="Times New Roman"/>
          <w:bCs/>
          <w:color w:val="000000"/>
          <w:sz w:val="32"/>
          <w:szCs w:val="32"/>
        </w:rPr>
        <w:t>条</w:t>
      </w:r>
      <w:r>
        <w:rPr>
          <w:rFonts w:hint="eastAsia" w:ascii="仿宋_GB2312" w:eastAsia="仿宋_GB2312" w:cs="Times New Roman"/>
          <w:bCs/>
          <w:color w:val="000000"/>
          <w:sz w:val="32"/>
          <w:szCs w:val="32"/>
        </w:rPr>
        <w:t xml:space="preserve"> </w:t>
      </w:r>
      <w:r>
        <w:rPr>
          <w:rFonts w:hint="eastAsia" w:ascii="仿宋_GB2312" w:eastAsia="仿宋_GB2312" w:cs="Times New Roman"/>
          <w:bCs/>
          <w:color w:val="000000"/>
          <w:sz w:val="32"/>
          <w:szCs w:val="32"/>
          <w:lang w:val="en-US" w:eastAsia="zh-CN"/>
        </w:rPr>
        <w:t xml:space="preserve"> </w:t>
      </w:r>
      <w:r>
        <w:rPr>
          <w:rFonts w:hint="eastAsia" w:ascii="仿宋_GB2312" w:hAnsi="仿宋_GB2312" w:eastAsia="仿宋_GB2312" w:cs="仿宋_GB2312"/>
          <w:color w:val="000000"/>
          <w:sz w:val="32"/>
          <w:szCs w:val="32"/>
          <w:lang w:val="zh-CN"/>
        </w:rPr>
        <w:t>对在红色资源保护传承利用工作中作出突出贡献的组织和个人，按照国家和省有关规定给予表彰、奖励。</w:t>
      </w:r>
    </w:p>
    <w:p>
      <w:pPr>
        <w:widowControl w:val="0"/>
        <w:tabs>
          <w:tab w:val="left" w:pos="6720"/>
        </w:tabs>
        <w:wordWrap/>
        <w:overflowPunct w:val="0"/>
        <w:adjustRightInd/>
        <w:snapToGrid/>
        <w:spacing w:before="290" w:beforeLines="100" w:after="290" w:afterLines="100" w:line="600" w:lineRule="exact"/>
        <w:ind w:left="0" w:leftChars="0" w:right="0" w:firstLine="0" w:firstLineChars="0"/>
        <w:jc w:val="center"/>
        <w:textAlignment w:val="auto"/>
        <w:outlineLvl w:val="9"/>
        <w:rPr>
          <w:rFonts w:hint="eastAsia" w:ascii="黑体" w:hAnsi="黑体" w:eastAsia="黑体" w:cs="黑体"/>
          <w:bCs/>
          <w:color w:val="000000"/>
          <w:sz w:val="32"/>
          <w:szCs w:val="32"/>
          <w:lang w:val="zh-CN" w:eastAsia="zh-CN"/>
        </w:rPr>
      </w:pPr>
      <w:r>
        <w:rPr>
          <w:rFonts w:hint="eastAsia" w:ascii="黑体" w:hAnsi="黑体" w:eastAsia="黑体" w:cs="黑体"/>
          <w:bCs/>
          <w:color w:val="000000"/>
          <w:sz w:val="32"/>
          <w:szCs w:val="32"/>
          <w:lang w:val="zh-CN" w:eastAsia="zh-CN"/>
        </w:rPr>
        <w:t>第二章</w:t>
      </w:r>
      <w:r>
        <w:rPr>
          <w:rFonts w:hint="eastAsia" w:ascii="黑体" w:hAnsi="黑体" w:eastAsia="黑体" w:cs="黑体"/>
          <w:bCs/>
          <w:color w:val="000000"/>
          <w:sz w:val="32"/>
          <w:szCs w:val="32"/>
          <w:lang w:val="en-US" w:eastAsia="zh-CN"/>
        </w:rPr>
        <w:t xml:space="preserve">  </w:t>
      </w:r>
      <w:r>
        <w:rPr>
          <w:rFonts w:hint="eastAsia" w:ascii="黑体" w:hAnsi="黑体" w:eastAsia="黑体" w:cs="黑体"/>
          <w:bCs/>
          <w:color w:val="000000"/>
          <w:sz w:val="32"/>
          <w:szCs w:val="32"/>
          <w:lang w:val="zh-CN" w:eastAsia="zh-CN"/>
        </w:rPr>
        <w:t>调查认定</w:t>
      </w:r>
    </w:p>
    <w:p>
      <w:pPr>
        <w:widowControl w:val="0"/>
        <w:tabs>
          <w:tab w:val="left" w:pos="6720"/>
        </w:tabs>
        <w:wordWrap/>
        <w:overflowPunct w:val="0"/>
        <w:topLinePunct/>
        <w:adjustRightInd w:val="0"/>
        <w:snapToGrid w:val="0"/>
        <w:spacing w:line="600" w:lineRule="exact"/>
        <w:ind w:left="0" w:leftChars="0" w:right="0" w:firstLine="640" w:firstLineChars="200"/>
        <w:jc w:val="both"/>
        <w:textAlignment w:val="auto"/>
        <w:outlineLvl w:val="9"/>
        <w:rPr>
          <w:rFonts w:hint="eastAsia" w:ascii="仿宋_GB2312" w:eastAsia="仿宋_GB2312" w:cs="仿宋_GB2312"/>
          <w:sz w:val="32"/>
          <w:szCs w:val="32"/>
          <w:lang w:eastAsia="zh-CN"/>
        </w:rPr>
      </w:pPr>
      <w:r>
        <w:rPr>
          <w:rFonts w:hint="eastAsia" w:ascii="黑体" w:hAnsi="黑体" w:eastAsia="黑体" w:cs="黑体"/>
          <w:color w:val="000000"/>
          <w:kern w:val="2"/>
          <w:sz w:val="32"/>
          <w:szCs w:val="32"/>
          <w:lang w:val="zh-CN" w:eastAsia="zh-CN" w:bidi="ar-SA"/>
        </w:rPr>
        <w:t>第十二条</w:t>
      </w:r>
      <w:r>
        <w:rPr>
          <w:rFonts w:hint="eastAsia" w:ascii="黑体" w:hAnsi="黑体" w:eastAsia="黑体" w:cs="黑体"/>
          <w:color w:val="000000"/>
          <w:kern w:val="2"/>
          <w:sz w:val="32"/>
          <w:szCs w:val="32"/>
          <w:lang w:val="en-US" w:eastAsia="zh-CN" w:bidi="ar-SA"/>
        </w:rPr>
        <w:t xml:space="preserve">  </w:t>
      </w:r>
      <w:r>
        <w:rPr>
          <w:rFonts w:hint="eastAsia" w:ascii="仿宋_GB2312" w:eastAsia="仿宋_GB2312" w:cs="Times New Roman"/>
          <w:bCs/>
          <w:color w:val="000000"/>
          <w:sz w:val="32"/>
          <w:szCs w:val="32"/>
        </w:rPr>
        <w:t>本省建立红色资源名录制度</w:t>
      </w:r>
      <w:r>
        <w:rPr>
          <w:rFonts w:hint="eastAsia" w:ascii="仿宋_GB2312" w:eastAsia="仿宋_GB2312" w:cs="Times New Roman"/>
          <w:bCs/>
          <w:color w:val="000000"/>
          <w:sz w:val="32"/>
          <w:szCs w:val="32"/>
          <w:lang w:eastAsia="zh-CN"/>
        </w:rPr>
        <w:t>，将具有重要历史价值、教育意义、纪念意义的红色资源列入名录予以保护。</w:t>
      </w:r>
    </w:p>
    <w:p>
      <w:pPr>
        <w:widowControl w:val="0"/>
        <w:pBdr>
          <w:top w:val="none" w:color="auto" w:sz="0" w:space="0"/>
          <w:left w:val="none" w:color="auto" w:sz="0" w:space="0"/>
          <w:bottom w:val="none" w:color="auto" w:sz="0" w:space="0"/>
          <w:right w:val="none" w:color="auto" w:sz="0" w:space="0"/>
        </w:pBdr>
        <w:tabs>
          <w:tab w:val="left" w:pos="6720"/>
        </w:tabs>
        <w:wordWrap/>
        <w:overflowPunct w:val="0"/>
        <w:spacing w:beforeAutospacing="0" w:afterAutospacing="0" w:line="600" w:lineRule="exact"/>
        <w:ind w:left="0" w:leftChars="0" w:right="0" w:firstLine="640" w:firstLineChars="200"/>
        <w:jc w:val="both"/>
        <w:textAlignment w:val="auto"/>
        <w:outlineLvl w:val="9"/>
        <w:rPr>
          <w:rFonts w:hint="eastAsia" w:ascii="仿宋_GB2312" w:eastAsia="仿宋_GB2312" w:cs="仿宋_GB2312"/>
          <w:color w:val="000000"/>
          <w:sz w:val="32"/>
          <w:szCs w:val="32"/>
          <w:lang w:val="zh-CN"/>
        </w:rPr>
      </w:pPr>
      <w:r>
        <w:rPr>
          <w:rFonts w:hint="eastAsia" w:ascii="黑体" w:hAnsi="黑体" w:eastAsia="黑体" w:cs="黑体"/>
          <w:color w:val="000000"/>
          <w:kern w:val="2"/>
          <w:sz w:val="32"/>
          <w:szCs w:val="32"/>
          <w:lang w:val="zh-CN" w:eastAsia="zh-CN" w:bidi="ar-SA"/>
        </w:rPr>
        <w:t>第十三条</w:t>
      </w:r>
      <w:r>
        <w:rPr>
          <w:rFonts w:hint="eastAsia" w:ascii="宋体" w:hAnsi="宋体" w:eastAsia="宋体" w:cs="宋体"/>
          <w:i w:val="0"/>
          <w:caps w:val="0"/>
          <w:color w:val="000000"/>
          <w:spacing w:val="0"/>
          <w:sz w:val="32"/>
          <w:szCs w:val="32"/>
          <w:shd w:val="clear" w:color="070000" w:fill="FFFFFF"/>
        </w:rPr>
        <w:t xml:space="preserve"> </w:t>
      </w:r>
      <w:r>
        <w:rPr>
          <w:rFonts w:hint="eastAsia" w:hAnsi="宋体" w:cs="宋体"/>
          <w:i w:val="0"/>
          <w:caps w:val="0"/>
          <w:color w:val="000000"/>
          <w:spacing w:val="0"/>
          <w:sz w:val="32"/>
          <w:szCs w:val="32"/>
          <w:shd w:val="clear" w:color="070000" w:fill="FFFFFF"/>
          <w:lang w:val="en-US" w:eastAsia="zh-CN"/>
        </w:rPr>
        <w:t xml:space="preserve"> </w:t>
      </w:r>
      <w:r>
        <w:rPr>
          <w:rFonts w:hint="eastAsia" w:ascii="仿宋_GB2312" w:eastAsia="仿宋_GB2312" w:cs="Times New Roman"/>
          <w:bCs/>
          <w:color w:val="000000"/>
          <w:sz w:val="32"/>
          <w:szCs w:val="32"/>
        </w:rPr>
        <w:t>省</w:t>
      </w:r>
      <w:r>
        <w:rPr>
          <w:rFonts w:hint="eastAsia" w:ascii="仿宋_GB2312" w:hAnsi="仿宋_GB2312" w:eastAsia="仿宋_GB2312" w:cs="仿宋_GB2312"/>
          <w:color w:val="000000"/>
          <w:sz w:val="32"/>
          <w:szCs w:val="32"/>
          <w:lang w:val="zh-CN"/>
        </w:rPr>
        <w:t>红色资源保护管理利用工作</w:t>
      </w:r>
      <w:r>
        <w:rPr>
          <w:rFonts w:hint="eastAsia" w:ascii="仿宋_GB2312" w:eastAsia="仿宋_GB2312"/>
          <w:sz w:val="32"/>
          <w:szCs w:val="32"/>
          <w:lang w:eastAsia="zh-CN"/>
        </w:rPr>
        <w:t>联席会议</w:t>
      </w:r>
      <w:r>
        <w:rPr>
          <w:rFonts w:hint="eastAsia" w:ascii="仿宋_GB2312" w:eastAsia="仿宋_GB2312" w:cs="Times New Roman"/>
          <w:bCs/>
          <w:color w:val="000000"/>
          <w:sz w:val="32"/>
          <w:szCs w:val="32"/>
        </w:rPr>
        <w:t>制定红色资源认定标准</w:t>
      </w:r>
      <w:r>
        <w:rPr>
          <w:rFonts w:hint="eastAsia" w:ascii="仿宋_GB2312" w:eastAsia="仿宋_GB2312" w:cs="Times New Roman"/>
          <w:bCs/>
          <w:color w:val="000000"/>
          <w:sz w:val="32"/>
          <w:szCs w:val="32"/>
          <w:lang w:eastAsia="zh-CN"/>
        </w:rPr>
        <w:t>并组织实施。各级</w:t>
      </w:r>
      <w:r>
        <w:rPr>
          <w:rFonts w:hint="eastAsia" w:ascii="仿宋_GB2312" w:eastAsia="仿宋_GB2312" w:cs="仿宋_GB2312"/>
          <w:color w:val="000000"/>
          <w:sz w:val="32"/>
          <w:szCs w:val="32"/>
          <w:lang w:val="zh-CN"/>
        </w:rPr>
        <w:t>党史、文化和旅游（文物）、档案、退役军人、住房城乡建设等部门</w:t>
      </w:r>
      <w:r>
        <w:rPr>
          <w:rFonts w:hint="eastAsia" w:ascii="仿宋_GB2312" w:hAnsi="仿宋_GB2312" w:eastAsia="仿宋_GB2312" w:cs="仿宋_GB2312"/>
          <w:color w:val="000000"/>
          <w:sz w:val="32"/>
          <w:szCs w:val="32"/>
          <w:lang w:val="zh-CN"/>
        </w:rPr>
        <w:t>按照红色资源认定标准，组织开展红色资源调查工作，并将调查成果提交同级红色资源保护管理利用工作联席会议；县级未建立红色资源保护管理利用联席会议机制的，报市、州红色资源保护管理利用联席会议。市、州红色资源</w:t>
      </w:r>
      <w:r>
        <w:rPr>
          <w:rFonts w:hint="eastAsia" w:ascii="仿宋_GB2312" w:eastAsia="仿宋_GB2312" w:cs="仿宋_GB2312"/>
          <w:color w:val="000000"/>
          <w:sz w:val="32"/>
          <w:szCs w:val="32"/>
          <w:lang w:val="zh-CN"/>
        </w:rPr>
        <w:t>保护管理利用工作联席会议将</w:t>
      </w:r>
      <w:r>
        <w:rPr>
          <w:rFonts w:hint="eastAsia" w:ascii="仿宋_GB2312" w:hAnsi="仿宋_GB2312" w:eastAsia="仿宋_GB2312" w:cs="仿宋_GB2312"/>
          <w:color w:val="000000"/>
          <w:sz w:val="32"/>
          <w:szCs w:val="32"/>
          <w:lang w:val="zh-CN"/>
        </w:rPr>
        <w:t>调查成果汇总审核后，报省红色资源</w:t>
      </w:r>
      <w:r>
        <w:rPr>
          <w:rFonts w:hint="eastAsia" w:ascii="仿宋_GB2312" w:eastAsia="仿宋_GB2312" w:cs="仿宋_GB2312"/>
          <w:color w:val="000000"/>
          <w:sz w:val="32"/>
          <w:szCs w:val="32"/>
          <w:lang w:val="zh-CN"/>
        </w:rPr>
        <w:t>保护管理利用工作联席会议。</w:t>
      </w:r>
    </w:p>
    <w:p>
      <w:pPr>
        <w:widowControl w:val="0"/>
        <w:pBdr>
          <w:top w:val="none" w:color="auto" w:sz="0" w:space="0"/>
          <w:left w:val="none" w:color="auto" w:sz="0" w:space="0"/>
          <w:bottom w:val="none" w:color="auto" w:sz="0" w:space="0"/>
          <w:right w:val="none" w:color="auto" w:sz="0" w:space="0"/>
        </w:pBdr>
        <w:tabs>
          <w:tab w:val="left" w:pos="6720"/>
        </w:tabs>
        <w:wordWrap/>
        <w:overflowPunct w:val="0"/>
        <w:spacing w:beforeAutospacing="0" w:afterAutospacing="0"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省红色资源</w:t>
      </w:r>
      <w:r>
        <w:rPr>
          <w:rFonts w:hint="eastAsia" w:ascii="仿宋_GB2312" w:eastAsia="仿宋_GB2312" w:cs="仿宋_GB2312"/>
          <w:color w:val="000000"/>
          <w:sz w:val="32"/>
          <w:szCs w:val="32"/>
          <w:lang w:val="zh-CN"/>
        </w:rPr>
        <w:t>保护管理利用工作联席会议按照公开、公平、公正的原则，组织专家评审，拟订拟列入红色资源名录的建议名单</w:t>
      </w:r>
      <w:r>
        <w:rPr>
          <w:rFonts w:hint="eastAsia" w:ascii="仿宋_GB2312" w:hAnsi="仿宋_GB2312" w:eastAsia="仿宋_GB2312" w:cs="仿宋_GB2312"/>
          <w:color w:val="000000"/>
          <w:sz w:val="32"/>
          <w:szCs w:val="32"/>
          <w:lang w:val="zh-CN"/>
        </w:rPr>
        <w:t>。建议名单应当向社会公示，征求公众意见，公示时间不少于二十</w:t>
      </w:r>
      <w:r>
        <w:rPr>
          <w:rFonts w:hint="eastAsia" w:ascii="仿宋_GB2312" w:hAnsi="仿宋_GB2312" w:eastAsia="仿宋_GB2312" w:cs="仿宋_GB2312"/>
          <w:color w:val="000000"/>
          <w:sz w:val="32"/>
          <w:szCs w:val="32"/>
          <w:lang w:val="en-US" w:eastAsia="zh-CN"/>
        </w:rPr>
        <w:t>日。</w:t>
      </w:r>
      <w:r>
        <w:rPr>
          <w:rFonts w:hint="eastAsia" w:ascii="仿宋_GB2312" w:hAnsi="仿宋_GB2312" w:eastAsia="仿宋_GB2312" w:cs="仿宋_GB2312"/>
          <w:color w:val="000000"/>
          <w:sz w:val="32"/>
          <w:szCs w:val="32"/>
          <w:lang w:val="zh-CN"/>
        </w:rPr>
        <w:t>根据专家评审意见和公示结果，提出红色资源建议名录，报省人民政府核定后公布。</w:t>
      </w:r>
    </w:p>
    <w:p>
      <w:pPr>
        <w:widowControl w:val="0"/>
        <w:pBdr>
          <w:top w:val="none" w:color="auto" w:sz="0" w:space="0"/>
          <w:left w:val="none" w:color="auto" w:sz="0" w:space="0"/>
          <w:bottom w:val="none" w:color="auto" w:sz="0" w:space="0"/>
          <w:right w:val="none" w:color="auto" w:sz="0" w:space="0"/>
        </w:pBdr>
        <w:tabs>
          <w:tab w:val="left" w:pos="6720"/>
        </w:tabs>
        <w:wordWrap/>
        <w:overflowPunct w:val="0"/>
        <w:spacing w:beforeAutospacing="0" w:afterAutospacing="0"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开展红色资源调查工作的部门，应当做好记录、整理、建档工作。</w:t>
      </w:r>
    </w:p>
    <w:p>
      <w:pPr>
        <w:widowControl w:val="0"/>
        <w:pBdr>
          <w:top w:val="none" w:color="auto" w:sz="0" w:space="0"/>
          <w:left w:val="none" w:color="auto" w:sz="0" w:space="0"/>
          <w:bottom w:val="none" w:color="auto" w:sz="0" w:space="0"/>
          <w:right w:val="none" w:color="auto" w:sz="0" w:space="0"/>
        </w:pBdr>
        <w:tabs>
          <w:tab w:val="left" w:pos="6720"/>
        </w:tabs>
        <w:wordWrap/>
        <w:overflowPunct w:val="0"/>
        <w:spacing w:beforeAutospacing="0" w:afterAutospacing="0"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鼓励组织和个人向开展红色资源调查工作的部门提出列入红色资源名录的建议。</w:t>
      </w:r>
    </w:p>
    <w:p>
      <w:pPr>
        <w:widowControl w:val="0"/>
        <w:pBdr>
          <w:top w:val="none" w:color="auto" w:sz="0" w:space="0"/>
          <w:left w:val="none" w:color="auto" w:sz="0" w:space="0"/>
          <w:bottom w:val="none" w:color="auto" w:sz="0" w:space="0"/>
          <w:right w:val="none" w:color="auto" w:sz="0" w:space="0"/>
        </w:pBdr>
        <w:tabs>
          <w:tab w:val="left" w:pos="6720"/>
        </w:tabs>
        <w:wordWrap/>
        <w:overflowPunct w:val="0"/>
        <w:spacing w:beforeAutospacing="0" w:afterAutospacing="0"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黑体" w:hAnsi="黑体" w:eastAsia="黑体" w:cs="黑体"/>
          <w:color w:val="000000"/>
          <w:kern w:val="2"/>
          <w:sz w:val="32"/>
          <w:szCs w:val="32"/>
          <w:lang w:val="zh-CN" w:eastAsia="zh-CN" w:bidi="ar-SA"/>
        </w:rPr>
        <w:t xml:space="preserve">第十四条 </w:t>
      </w:r>
      <w:r>
        <w:rPr>
          <w:rFonts w:hint="eastAsia" w:ascii="黑体" w:hAnsi="黑体" w:eastAsia="黑体" w:cs="黑体"/>
          <w:color w:val="000000"/>
          <w:kern w:val="2"/>
          <w:sz w:val="32"/>
          <w:szCs w:val="32"/>
          <w:lang w:val="en-US" w:eastAsia="zh-CN" w:bidi="ar-SA"/>
        </w:rPr>
        <w:t xml:space="preserve"> </w:t>
      </w:r>
      <w:r>
        <w:rPr>
          <w:rFonts w:hint="eastAsia" w:ascii="仿宋_GB2312" w:hAnsi="仿宋_GB2312" w:eastAsia="仿宋_GB2312" w:cs="仿宋_GB2312"/>
          <w:color w:val="000000"/>
          <w:sz w:val="32"/>
          <w:szCs w:val="32"/>
          <w:lang w:val="zh-CN"/>
        </w:rPr>
        <w:t>红色资源名录实行动态调整。</w:t>
      </w:r>
    </w:p>
    <w:p>
      <w:pPr>
        <w:widowControl w:val="0"/>
        <w:pBdr>
          <w:top w:val="none" w:color="auto" w:sz="0" w:space="0"/>
          <w:left w:val="none" w:color="auto" w:sz="0" w:space="0"/>
          <w:bottom w:val="none" w:color="auto" w:sz="0" w:space="0"/>
          <w:right w:val="none" w:color="auto" w:sz="0" w:space="0"/>
        </w:pBdr>
        <w:tabs>
          <w:tab w:val="left" w:pos="6720"/>
        </w:tabs>
        <w:wordWrap/>
        <w:overflowPunct w:val="0"/>
        <w:spacing w:beforeAutospacing="0" w:afterAutospacing="0"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对已列入名录的红色资源，有关部门和单位可以根据红色资源保护传承利用的实际并结合专家意见，提出调整建议，由省红色资源保护管理利用工作</w:t>
      </w:r>
      <w:r>
        <w:rPr>
          <w:rFonts w:hint="eastAsia" w:ascii="仿宋_GB2312" w:eastAsia="仿宋_GB2312"/>
          <w:sz w:val="32"/>
          <w:szCs w:val="32"/>
          <w:lang w:eastAsia="zh-CN"/>
        </w:rPr>
        <w:t>联席会议</w:t>
      </w:r>
      <w:r>
        <w:rPr>
          <w:rFonts w:hint="eastAsia" w:ascii="仿宋_GB2312" w:hAnsi="仿宋_GB2312" w:eastAsia="仿宋_GB2312" w:cs="仿宋_GB2312"/>
          <w:color w:val="000000"/>
          <w:sz w:val="32"/>
          <w:szCs w:val="32"/>
          <w:lang w:val="zh-CN"/>
        </w:rPr>
        <w:t>审核，报省人民政府核定后公布。</w:t>
      </w:r>
    </w:p>
    <w:p>
      <w:pPr>
        <w:widowControl w:val="0"/>
        <w:numPr>
          <w:ilvl w:val="0"/>
          <w:numId w:val="0"/>
        </w:numPr>
        <w:pBdr>
          <w:top w:val="none" w:color="auto" w:sz="0" w:space="0"/>
          <w:left w:val="none" w:color="auto" w:sz="0" w:space="0"/>
          <w:bottom w:val="none" w:color="auto" w:sz="0" w:space="0"/>
          <w:right w:val="none" w:color="auto" w:sz="0" w:space="0"/>
        </w:pBdr>
        <w:tabs>
          <w:tab w:val="left" w:pos="6720"/>
        </w:tabs>
        <w:wordWrap/>
        <w:overflowPunct w:val="0"/>
        <w:spacing w:beforeAutospacing="0" w:afterAutospacing="0" w:line="600" w:lineRule="exact"/>
        <w:ind w:left="0" w:leftChars="0" w:right="0" w:firstLine="640" w:firstLineChars="200"/>
        <w:jc w:val="both"/>
        <w:textAlignment w:val="auto"/>
        <w:outlineLvl w:val="9"/>
        <w:rPr>
          <w:rFonts w:hint="eastAsia" w:ascii="仿宋_GB2312" w:eastAsia="仿宋_GB2312" w:cs="Times New Roman"/>
          <w:bCs/>
          <w:color w:val="000000"/>
          <w:sz w:val="32"/>
          <w:szCs w:val="32"/>
          <w:lang w:val="zh-CN"/>
        </w:rPr>
      </w:pPr>
      <w:r>
        <w:rPr>
          <w:rFonts w:hint="eastAsia" w:ascii="黑体" w:hAnsi="黑体" w:eastAsia="黑体" w:cs="黑体"/>
          <w:color w:val="000000"/>
          <w:kern w:val="2"/>
          <w:sz w:val="32"/>
          <w:szCs w:val="32"/>
          <w:lang w:val="en-US" w:eastAsia="zh-CN" w:bidi="ar-SA"/>
        </w:rPr>
        <w:t xml:space="preserve">第十五条  </w:t>
      </w:r>
      <w:r>
        <w:rPr>
          <w:rFonts w:hint="eastAsia" w:ascii="仿宋_GB2312" w:eastAsia="仿宋_GB2312" w:cs="Times New Roman"/>
          <w:bCs/>
          <w:color w:val="000000"/>
          <w:sz w:val="32"/>
          <w:szCs w:val="32"/>
          <w:lang w:val="zh-CN"/>
        </w:rPr>
        <w:t>省级建立红色资源数据库，运用数字化、网络化、智能化技术对相关资料予以保存和展示，实现红色资源信息共享和开发利用。</w:t>
      </w:r>
    </w:p>
    <w:p>
      <w:pPr>
        <w:widowControl w:val="0"/>
        <w:tabs>
          <w:tab w:val="left" w:pos="6720"/>
        </w:tabs>
        <w:wordWrap/>
        <w:overflowPunct w:val="0"/>
        <w:adjustRightInd/>
        <w:snapToGrid/>
        <w:spacing w:before="290" w:beforeLines="100" w:after="290" w:afterLines="100" w:line="600" w:lineRule="exact"/>
        <w:ind w:left="0" w:leftChars="0" w:right="0" w:firstLine="0" w:firstLineChars="0"/>
        <w:jc w:val="center"/>
        <w:textAlignment w:val="auto"/>
        <w:outlineLvl w:val="9"/>
        <w:rPr>
          <w:rFonts w:hint="eastAsia" w:ascii="黑体" w:hAnsi="黑体" w:eastAsia="黑体" w:cs="黑体"/>
          <w:bCs/>
          <w:color w:val="000000"/>
          <w:sz w:val="32"/>
          <w:szCs w:val="32"/>
          <w:lang w:val="zh-CN"/>
        </w:rPr>
      </w:pPr>
      <w:r>
        <w:rPr>
          <w:rFonts w:hint="eastAsia" w:ascii="黑体" w:hAnsi="黑体" w:eastAsia="黑体" w:cs="黑体"/>
          <w:bCs/>
          <w:color w:val="000000"/>
          <w:sz w:val="32"/>
          <w:szCs w:val="32"/>
          <w:lang w:val="en-US" w:eastAsia="zh-CN"/>
        </w:rPr>
        <w:t xml:space="preserve">第三章  </w:t>
      </w:r>
      <w:r>
        <w:rPr>
          <w:rFonts w:hint="eastAsia" w:ascii="黑体" w:hAnsi="黑体" w:eastAsia="黑体" w:cs="黑体"/>
          <w:bCs/>
          <w:color w:val="000000"/>
          <w:sz w:val="32"/>
          <w:szCs w:val="32"/>
          <w:lang w:val="zh-CN" w:eastAsia="zh-CN"/>
        </w:rPr>
        <w:t>保护管理</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zh-CN"/>
        </w:rPr>
        <w:t>第十六条</w:t>
      </w:r>
      <w:r>
        <w:rPr>
          <w:rFonts w:hint="eastAsia" w:ascii="仿宋_GB2312" w:hAnsi="仿宋_GB2312" w:eastAsia="仿宋_GB2312" w:cs="仿宋_GB2312"/>
          <w:color w:val="000000"/>
          <w:sz w:val="32"/>
          <w:szCs w:val="32"/>
          <w:lang w:val="zh-CN"/>
        </w:rPr>
        <w:t xml:space="preserve">  自然资源、生态环境、文化和旅游（文物）等部门在组织编制国土空间规划以及环境保护、文化旅游发展等专项规划时，应当体现红色资源保护传承利用的要求。</w:t>
      </w:r>
    </w:p>
    <w:p>
      <w:pPr>
        <w:widowControl w:val="0"/>
        <w:tabs>
          <w:tab w:val="left" w:pos="6720"/>
        </w:tabs>
        <w:wordWrap/>
        <w:overflowPunct w:val="0"/>
        <w:adjustRightInd/>
        <w:snapToGrid/>
        <w:spacing w:line="600" w:lineRule="exact"/>
        <w:ind w:left="0" w:leftChars="0" w:right="0" w:firstLine="640" w:firstLineChars="200"/>
        <w:jc w:val="both"/>
        <w:textAlignment w:val="auto"/>
        <w:outlineLvl w:val="9"/>
        <w:rPr>
          <w:rFonts w:hint="eastAsia" w:eastAsia="仿宋_GB2312"/>
          <w:sz w:val="32"/>
          <w:szCs w:val="32"/>
          <w:lang w:eastAsia="zh-CN"/>
        </w:rPr>
      </w:pPr>
      <w:r>
        <w:rPr>
          <w:rFonts w:hint="eastAsia" w:ascii="黑体" w:eastAsia="黑体" w:cs="黑体"/>
          <w:sz w:val="32"/>
          <w:szCs w:val="32"/>
        </w:rPr>
        <w:t>第</w:t>
      </w:r>
      <w:r>
        <w:rPr>
          <w:rFonts w:hint="eastAsia" w:ascii="黑体" w:eastAsia="黑体" w:cs="黑体"/>
          <w:sz w:val="32"/>
          <w:szCs w:val="32"/>
          <w:lang w:eastAsia="zh-CN"/>
        </w:rPr>
        <w:t>十七</w:t>
      </w:r>
      <w:r>
        <w:rPr>
          <w:rFonts w:hint="eastAsia" w:ascii="黑体" w:eastAsia="黑体" w:cs="黑体"/>
          <w:sz w:val="32"/>
          <w:szCs w:val="32"/>
        </w:rPr>
        <w:t>条</w:t>
      </w:r>
      <w:r>
        <w:rPr>
          <w:rFonts w:hint="eastAsia" w:ascii="仿宋_GB2312" w:eastAsia="仿宋_GB2312" w:cs="楷体_GB2312"/>
          <w:spacing w:val="0"/>
          <w:sz w:val="32"/>
          <w:szCs w:val="32"/>
          <w:lang w:val="en-US" w:eastAsia="zh-CN"/>
        </w:rPr>
        <w:t>　</w:t>
      </w:r>
      <w:r>
        <w:rPr>
          <w:rFonts w:hint="eastAsia" w:ascii="仿宋_GB2312" w:eastAsia="仿宋_GB2312"/>
          <w:sz w:val="32"/>
          <w:szCs w:val="32"/>
        </w:rPr>
        <w:t>属于不可移动红色资源的，县级人民政府应当</w:t>
      </w:r>
      <w:r>
        <w:rPr>
          <w:rFonts w:hint="eastAsia" w:ascii="仿宋_GB2312" w:eastAsia="仿宋_GB2312"/>
          <w:sz w:val="32"/>
          <w:szCs w:val="32"/>
          <w:lang w:eastAsia="zh-CN"/>
        </w:rPr>
        <w:t>根据红色资源名录，按照国家和省的有关规定，</w:t>
      </w:r>
      <w:r>
        <w:rPr>
          <w:rFonts w:hint="eastAsia" w:ascii="仿宋_GB2312" w:eastAsia="仿宋_GB2312"/>
          <w:sz w:val="32"/>
          <w:szCs w:val="32"/>
          <w:lang w:val="zh-CN"/>
        </w:rPr>
        <w:t>设置保护标识</w:t>
      </w:r>
      <w:r>
        <w:rPr>
          <w:rFonts w:hint="eastAsia" w:ascii="仿宋_GB2312" w:eastAsia="仿宋_GB2312"/>
          <w:sz w:val="32"/>
          <w:szCs w:val="32"/>
          <w:lang w:eastAsia="zh-CN"/>
        </w:rPr>
        <w:t>，</w:t>
      </w:r>
      <w:r>
        <w:rPr>
          <w:rFonts w:hint="eastAsia" w:ascii="仿宋_GB2312" w:eastAsia="仿宋_GB2312"/>
          <w:sz w:val="32"/>
          <w:szCs w:val="32"/>
          <w:lang w:val="zh-CN"/>
        </w:rPr>
        <w:t>建立记录档案</w:t>
      </w:r>
      <w:r>
        <w:rPr>
          <w:rFonts w:hint="eastAsia" w:ascii="仿宋_GB2312" w:eastAsia="仿宋_GB2312"/>
          <w:sz w:val="32"/>
          <w:szCs w:val="32"/>
        </w:rPr>
        <w:t>，明确具体保护</w:t>
      </w:r>
      <w:r>
        <w:rPr>
          <w:rFonts w:hint="eastAsia" w:ascii="仿宋_GB2312" w:eastAsia="仿宋_GB2312"/>
          <w:sz w:val="32"/>
          <w:szCs w:val="32"/>
          <w:lang w:eastAsia="zh-CN"/>
        </w:rPr>
        <w:t>机构，</w:t>
      </w:r>
      <w:r>
        <w:rPr>
          <w:rFonts w:hint="eastAsia" w:ascii="仿宋_GB2312" w:eastAsia="仿宋_GB2312"/>
          <w:sz w:val="32"/>
          <w:szCs w:val="32"/>
        </w:rPr>
        <w:t>并</w:t>
      </w:r>
      <w:r>
        <w:rPr>
          <w:rFonts w:hint="eastAsia" w:ascii="仿宋_GB2312" w:eastAsia="仿宋_GB2312"/>
          <w:sz w:val="32"/>
          <w:szCs w:val="32"/>
          <w:lang w:eastAsia="zh-CN"/>
        </w:rPr>
        <w:t>依法采取相应保护措施</w:t>
      </w:r>
      <w:r>
        <w:rPr>
          <w:rFonts w:hint="eastAsia" w:ascii="仿宋_GB2312" w:eastAsia="仿宋_GB2312"/>
          <w:sz w:val="32"/>
          <w:szCs w:val="32"/>
        </w:rPr>
        <w:t>。</w:t>
      </w:r>
    </w:p>
    <w:p>
      <w:pPr>
        <w:widowControl w:val="0"/>
        <w:tabs>
          <w:tab w:val="left" w:pos="6720"/>
        </w:tabs>
        <w:wordWrap/>
        <w:overflowPunct w:val="0"/>
        <w:adjustRightInd/>
        <w:snapToGrid/>
        <w:spacing w:line="600" w:lineRule="exact"/>
        <w:ind w:left="0" w:leftChars="0" w:right="0" w:firstLine="640" w:firstLineChars="200"/>
        <w:jc w:val="both"/>
        <w:textAlignment w:val="auto"/>
        <w:outlineLvl w:val="9"/>
        <w:rPr>
          <w:rFonts w:hint="default" w:ascii="仿宋_GB2312" w:eastAsia="仿宋_GB2312"/>
          <w:sz w:val="32"/>
          <w:szCs w:val="32"/>
          <w:lang w:val="en-US" w:eastAsia="zh-CN"/>
        </w:rPr>
      </w:pPr>
      <w:r>
        <w:rPr>
          <w:rFonts w:hint="eastAsia" w:ascii="仿宋_GB2312" w:eastAsia="仿宋_GB2312"/>
          <w:sz w:val="32"/>
          <w:szCs w:val="32"/>
        </w:rPr>
        <w:t>新建、迁建、改扩建革命纪念设施，应当按照国家有关规定严格履行报批程序。</w:t>
      </w:r>
    </w:p>
    <w:p>
      <w:pPr>
        <w:widowControl w:val="0"/>
        <w:pBdr>
          <w:top w:val="none" w:color="auto" w:sz="0" w:space="0"/>
          <w:left w:val="none" w:color="auto" w:sz="0" w:space="0"/>
          <w:bottom w:val="none" w:color="auto" w:sz="0" w:space="0"/>
          <w:right w:val="none" w:color="auto" w:sz="0" w:space="0"/>
        </w:pBdr>
        <w:tabs>
          <w:tab w:val="left" w:pos="6720"/>
        </w:tabs>
        <w:wordWrap/>
        <w:overflowPunct w:val="0"/>
        <w:topLinePunct/>
        <w:adjustRightInd/>
        <w:snapToGrid/>
        <w:spacing w:beforeAutospacing="0" w:afterAutospacing="0" w:line="600" w:lineRule="exact"/>
        <w:ind w:left="0" w:leftChars="0" w:right="0" w:firstLine="640" w:firstLineChars="200"/>
        <w:jc w:val="both"/>
        <w:textAlignment w:val="auto"/>
        <w:outlineLvl w:val="9"/>
        <w:rPr>
          <w:rFonts w:hint="eastAsia" w:ascii="仿宋_GB2312" w:eastAsia="仿宋_GB2312"/>
          <w:sz w:val="32"/>
          <w:szCs w:val="32"/>
        </w:rPr>
      </w:pPr>
      <w:r>
        <w:rPr>
          <w:rFonts w:hint="eastAsia" w:ascii="黑体" w:eastAsia="黑体" w:cs="黑体"/>
          <w:sz w:val="32"/>
          <w:szCs w:val="32"/>
        </w:rPr>
        <w:t>第</w:t>
      </w:r>
      <w:r>
        <w:rPr>
          <w:rFonts w:hint="eastAsia" w:ascii="黑体" w:eastAsia="黑体" w:cs="黑体"/>
          <w:sz w:val="32"/>
          <w:szCs w:val="32"/>
          <w:lang w:eastAsia="zh-CN"/>
        </w:rPr>
        <w:t>十八</w:t>
      </w:r>
      <w:r>
        <w:rPr>
          <w:rFonts w:hint="eastAsia" w:ascii="黑体" w:eastAsia="黑体" w:cs="黑体"/>
          <w:sz w:val="32"/>
          <w:szCs w:val="32"/>
        </w:rPr>
        <w:t>条</w:t>
      </w:r>
      <w:r>
        <w:rPr>
          <w:rFonts w:hint="eastAsia" w:ascii="仿宋_GB2312" w:eastAsia="仿宋_GB2312" w:cs="楷体_GB2312"/>
          <w:spacing w:val="0"/>
          <w:sz w:val="32"/>
          <w:szCs w:val="32"/>
          <w:lang w:val="en-US" w:eastAsia="zh-CN"/>
        </w:rPr>
        <w:t>　</w:t>
      </w:r>
      <w:r>
        <w:rPr>
          <w:rFonts w:hint="eastAsia" w:ascii="仿宋_GB2312" w:eastAsia="仿宋_GB2312"/>
          <w:sz w:val="32"/>
          <w:szCs w:val="32"/>
        </w:rPr>
        <w:t>属于可移动红色资源的，应当登记建档，并在符合保护要求的专门场所或者设施妥善保管。</w:t>
      </w:r>
    </w:p>
    <w:p>
      <w:pPr>
        <w:widowControl w:val="0"/>
        <w:tabs>
          <w:tab w:val="left" w:pos="6720"/>
        </w:tabs>
        <w:wordWrap/>
        <w:overflowPunct w:val="0"/>
        <w:adjustRightInd/>
        <w:snapToGrid/>
        <w:spacing w:line="600" w:lineRule="exact"/>
        <w:ind w:left="0" w:leftChars="0" w:right="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搬移、展示或者借用可移动红色资源应当确保资源安全。</w:t>
      </w:r>
    </w:p>
    <w:p>
      <w:pPr>
        <w:widowControl w:val="0"/>
        <w:tabs>
          <w:tab w:val="left" w:pos="6720"/>
        </w:tabs>
        <w:wordWrap/>
        <w:overflowPunct w:val="0"/>
        <w:topLinePunct/>
        <w:adjustRightInd w:val="0"/>
        <w:snapToGrid w:val="0"/>
        <w:spacing w:line="600" w:lineRule="exact"/>
        <w:ind w:left="0" w:leftChars="0" w:right="0" w:firstLine="640" w:firstLineChars="200"/>
        <w:jc w:val="both"/>
        <w:textAlignment w:val="auto"/>
        <w:outlineLvl w:val="9"/>
        <w:rPr>
          <w:rFonts w:ascii="仿宋_GB2312" w:eastAsia="仿宋_GB2312" w:cs="Times New Roman"/>
          <w:bCs/>
          <w:color w:val="000000"/>
          <w:sz w:val="32"/>
          <w:szCs w:val="32"/>
        </w:rPr>
      </w:pPr>
      <w:r>
        <w:rPr>
          <w:rFonts w:hint="eastAsia" w:ascii="黑体" w:eastAsia="黑体" w:cs="黑体"/>
          <w:sz w:val="32"/>
          <w:szCs w:val="32"/>
        </w:rPr>
        <w:t>第</w:t>
      </w:r>
      <w:r>
        <w:rPr>
          <w:rFonts w:hint="eastAsia" w:ascii="黑体" w:eastAsia="黑体" w:cs="黑体"/>
          <w:sz w:val="32"/>
          <w:szCs w:val="32"/>
          <w:lang w:eastAsia="zh-CN"/>
        </w:rPr>
        <w:t>十九</w:t>
      </w:r>
      <w:r>
        <w:rPr>
          <w:rFonts w:hint="eastAsia" w:ascii="黑体" w:eastAsia="黑体" w:cs="黑体"/>
          <w:sz w:val="32"/>
          <w:szCs w:val="32"/>
        </w:rPr>
        <w:t>条</w:t>
      </w:r>
      <w:r>
        <w:rPr>
          <w:rFonts w:hint="eastAsia" w:ascii="仿宋_GB2312" w:eastAsia="仿宋_GB2312" w:cs="楷体_GB2312"/>
          <w:spacing w:val="0"/>
          <w:sz w:val="32"/>
          <w:szCs w:val="32"/>
          <w:lang w:val="en-US" w:eastAsia="zh-CN"/>
        </w:rPr>
        <w:t>　</w:t>
      </w:r>
      <w:r>
        <w:rPr>
          <w:rFonts w:hint="eastAsia" w:ascii="仿宋_GB2312" w:eastAsia="仿宋_GB2312" w:cs="Times New Roman"/>
          <w:bCs/>
          <w:color w:val="000000"/>
          <w:sz w:val="32"/>
          <w:szCs w:val="32"/>
        </w:rPr>
        <w:t>红色物质资源实行保护责任人制度。红色物质资源所有人</w:t>
      </w:r>
      <w:r>
        <w:rPr>
          <w:rFonts w:hint="eastAsia" w:ascii="仿宋_GB2312" w:eastAsia="仿宋_GB2312" w:cs="Times New Roman"/>
          <w:bCs/>
          <w:color w:val="000000"/>
          <w:sz w:val="32"/>
          <w:szCs w:val="32"/>
          <w:lang w:eastAsia="zh-CN"/>
        </w:rPr>
        <w:t>、管理人</w:t>
      </w:r>
      <w:r>
        <w:rPr>
          <w:rFonts w:hint="eastAsia" w:ascii="仿宋_GB2312" w:eastAsia="仿宋_GB2312" w:cs="Times New Roman"/>
          <w:bCs/>
          <w:color w:val="000000"/>
          <w:sz w:val="32"/>
          <w:szCs w:val="32"/>
        </w:rPr>
        <w:t>或者使用人为保护责任人；权属不明确的，由</w:t>
      </w:r>
      <w:r>
        <w:rPr>
          <w:rFonts w:hint="eastAsia" w:ascii="仿宋_GB2312" w:eastAsia="仿宋_GB2312" w:cs="Times New Roman"/>
          <w:bCs/>
          <w:color w:val="000000"/>
          <w:sz w:val="32"/>
          <w:szCs w:val="32"/>
          <w:lang w:eastAsia="zh-CN"/>
        </w:rPr>
        <w:t>有权的</w:t>
      </w:r>
      <w:r>
        <w:rPr>
          <w:rFonts w:hint="eastAsia" w:ascii="仿宋_GB2312" w:eastAsia="仿宋_GB2312" w:cs="Times New Roman"/>
          <w:bCs/>
          <w:color w:val="000000"/>
          <w:sz w:val="32"/>
          <w:szCs w:val="32"/>
        </w:rPr>
        <w:t>县级</w:t>
      </w:r>
      <w:r>
        <w:rPr>
          <w:rFonts w:hint="eastAsia" w:ascii="仿宋_GB2312" w:eastAsia="仿宋_GB2312" w:cs="Times New Roman"/>
          <w:bCs/>
          <w:color w:val="000000"/>
          <w:sz w:val="32"/>
          <w:szCs w:val="32"/>
          <w:lang w:eastAsia="zh-CN"/>
        </w:rPr>
        <w:t>以上</w:t>
      </w:r>
      <w:r>
        <w:rPr>
          <w:rFonts w:hint="eastAsia" w:ascii="仿宋_GB2312" w:eastAsia="仿宋_GB2312" w:cs="Times New Roman"/>
          <w:bCs/>
          <w:color w:val="000000"/>
          <w:sz w:val="32"/>
          <w:szCs w:val="32"/>
        </w:rPr>
        <w:t>人民政府指定保护责任人，或者所在地乡镇人民政府、街道办事处为保护责任人。</w:t>
      </w:r>
    </w:p>
    <w:p>
      <w:pPr>
        <w:widowControl w:val="0"/>
        <w:tabs>
          <w:tab w:val="left" w:pos="6720"/>
        </w:tabs>
        <w:wordWrap/>
        <w:overflowPunct w:val="0"/>
        <w:topLinePunct/>
        <w:adjustRightInd w:val="0"/>
        <w:snapToGrid w:val="0"/>
        <w:spacing w:line="600" w:lineRule="exact"/>
        <w:ind w:left="0" w:leftChars="0" w:right="0" w:firstLine="640" w:firstLineChars="200"/>
        <w:jc w:val="both"/>
        <w:textAlignment w:val="auto"/>
        <w:outlineLvl w:val="9"/>
        <w:rPr>
          <w:rFonts w:ascii="仿宋_GB2312" w:eastAsia="仿宋_GB2312" w:cs="Times New Roman"/>
          <w:bCs/>
          <w:color w:val="000000"/>
          <w:sz w:val="32"/>
          <w:szCs w:val="32"/>
        </w:rPr>
      </w:pPr>
      <w:r>
        <w:rPr>
          <w:rFonts w:hint="eastAsia" w:ascii="仿宋_GB2312" w:eastAsia="仿宋_GB2312" w:cs="Times New Roman"/>
          <w:bCs/>
          <w:color w:val="000000"/>
          <w:sz w:val="32"/>
          <w:szCs w:val="32"/>
        </w:rPr>
        <w:t>保护责任人应当履行下列责任：</w:t>
      </w:r>
    </w:p>
    <w:p>
      <w:pPr>
        <w:widowControl w:val="0"/>
        <w:tabs>
          <w:tab w:val="left" w:pos="6720"/>
        </w:tabs>
        <w:wordWrap/>
        <w:overflowPunct w:val="0"/>
        <w:topLinePunct/>
        <w:adjustRightInd w:val="0"/>
        <w:snapToGrid w:val="0"/>
        <w:spacing w:line="600" w:lineRule="exact"/>
        <w:ind w:left="0" w:leftChars="0" w:right="0" w:firstLine="640" w:firstLineChars="200"/>
        <w:jc w:val="both"/>
        <w:textAlignment w:val="auto"/>
        <w:outlineLvl w:val="9"/>
        <w:rPr>
          <w:rFonts w:ascii="仿宋_GB2312" w:eastAsia="仿宋_GB2312" w:cs="Times New Roman"/>
          <w:bCs/>
          <w:color w:val="000000"/>
          <w:sz w:val="32"/>
          <w:szCs w:val="32"/>
        </w:rPr>
      </w:pPr>
      <w:r>
        <w:rPr>
          <w:rFonts w:hint="eastAsia" w:ascii="仿宋_GB2312" w:eastAsia="仿宋_GB2312" w:cs="Times New Roman"/>
          <w:bCs/>
          <w:color w:val="000000"/>
          <w:sz w:val="32"/>
          <w:szCs w:val="32"/>
          <w:lang w:eastAsia="zh-CN"/>
        </w:rPr>
        <w:t>（</w:t>
      </w:r>
      <w:r>
        <w:rPr>
          <w:rFonts w:hint="eastAsia" w:ascii="仿宋_GB2312" w:eastAsia="仿宋_GB2312" w:cs="Times New Roman"/>
          <w:bCs/>
          <w:color w:val="000000"/>
          <w:sz w:val="32"/>
          <w:szCs w:val="32"/>
        </w:rPr>
        <w:t>一</w:t>
      </w:r>
      <w:r>
        <w:rPr>
          <w:rFonts w:hint="eastAsia" w:ascii="仿宋_GB2312" w:eastAsia="仿宋_GB2312" w:cs="Times New Roman"/>
          <w:bCs/>
          <w:color w:val="000000"/>
          <w:sz w:val="32"/>
          <w:szCs w:val="32"/>
          <w:lang w:eastAsia="zh-CN"/>
        </w:rPr>
        <w:t>）</w:t>
      </w:r>
      <w:r>
        <w:rPr>
          <w:rFonts w:hint="eastAsia" w:ascii="仿宋_GB2312" w:eastAsia="仿宋_GB2312" w:cs="Times New Roman"/>
          <w:bCs/>
          <w:color w:val="000000"/>
          <w:sz w:val="32"/>
          <w:szCs w:val="32"/>
        </w:rPr>
        <w:t>开展日常巡查、保养、维护；</w:t>
      </w:r>
    </w:p>
    <w:p>
      <w:pPr>
        <w:widowControl w:val="0"/>
        <w:tabs>
          <w:tab w:val="left" w:pos="6720"/>
        </w:tabs>
        <w:wordWrap/>
        <w:overflowPunct w:val="0"/>
        <w:topLinePunct/>
        <w:adjustRightInd w:val="0"/>
        <w:snapToGrid w:val="0"/>
        <w:spacing w:line="600" w:lineRule="exact"/>
        <w:ind w:left="0" w:leftChars="0" w:right="0" w:firstLine="640" w:firstLineChars="200"/>
        <w:jc w:val="both"/>
        <w:textAlignment w:val="auto"/>
        <w:outlineLvl w:val="9"/>
        <w:rPr>
          <w:rFonts w:ascii="仿宋_GB2312" w:eastAsia="仿宋_GB2312" w:cs="Times New Roman"/>
          <w:bCs/>
          <w:color w:val="000000"/>
          <w:sz w:val="32"/>
          <w:szCs w:val="32"/>
        </w:rPr>
      </w:pPr>
      <w:r>
        <w:rPr>
          <w:rFonts w:hint="eastAsia" w:ascii="仿宋_GB2312" w:eastAsia="仿宋_GB2312" w:cs="Times New Roman"/>
          <w:bCs/>
          <w:color w:val="000000"/>
          <w:sz w:val="32"/>
          <w:szCs w:val="32"/>
          <w:lang w:eastAsia="zh-CN"/>
        </w:rPr>
        <w:t>（</w:t>
      </w:r>
      <w:r>
        <w:rPr>
          <w:rFonts w:hint="eastAsia" w:ascii="仿宋_GB2312" w:eastAsia="仿宋_GB2312" w:cs="Times New Roman"/>
          <w:bCs/>
          <w:color w:val="000000"/>
          <w:sz w:val="32"/>
          <w:szCs w:val="32"/>
        </w:rPr>
        <w:t>二</w:t>
      </w:r>
      <w:r>
        <w:rPr>
          <w:rFonts w:hint="eastAsia" w:ascii="仿宋_GB2312" w:eastAsia="仿宋_GB2312" w:cs="Times New Roman"/>
          <w:bCs/>
          <w:color w:val="000000"/>
          <w:sz w:val="32"/>
          <w:szCs w:val="32"/>
          <w:lang w:eastAsia="zh-CN"/>
        </w:rPr>
        <w:t>）</w:t>
      </w:r>
      <w:r>
        <w:rPr>
          <w:rFonts w:hint="eastAsia" w:ascii="仿宋_GB2312" w:eastAsia="仿宋_GB2312" w:cs="Times New Roman"/>
          <w:bCs/>
          <w:color w:val="000000"/>
          <w:sz w:val="32"/>
          <w:szCs w:val="32"/>
        </w:rPr>
        <w:t>采取防火、防盗、防损坏等安全措施；</w:t>
      </w:r>
    </w:p>
    <w:p>
      <w:pPr>
        <w:widowControl w:val="0"/>
        <w:tabs>
          <w:tab w:val="left" w:pos="6720"/>
        </w:tabs>
        <w:wordWrap/>
        <w:overflowPunct w:val="0"/>
        <w:topLinePunct/>
        <w:adjustRightInd w:val="0"/>
        <w:snapToGrid w:val="0"/>
        <w:spacing w:line="600" w:lineRule="exact"/>
        <w:ind w:left="0" w:leftChars="0" w:right="0" w:firstLine="640" w:firstLineChars="200"/>
        <w:jc w:val="both"/>
        <w:textAlignment w:val="auto"/>
        <w:outlineLvl w:val="9"/>
        <w:rPr>
          <w:rFonts w:ascii="仿宋_GB2312" w:eastAsia="仿宋_GB2312" w:cs="Times New Roman"/>
          <w:bCs/>
          <w:color w:val="000000"/>
          <w:sz w:val="32"/>
          <w:szCs w:val="32"/>
        </w:rPr>
      </w:pPr>
      <w:r>
        <w:rPr>
          <w:rFonts w:hint="eastAsia" w:ascii="仿宋_GB2312" w:eastAsia="仿宋_GB2312" w:cs="Times New Roman"/>
          <w:bCs/>
          <w:color w:val="000000"/>
          <w:sz w:val="32"/>
          <w:szCs w:val="32"/>
          <w:lang w:eastAsia="zh-CN"/>
        </w:rPr>
        <w:t>（</w:t>
      </w:r>
      <w:r>
        <w:rPr>
          <w:rFonts w:hint="eastAsia" w:ascii="仿宋_GB2312" w:eastAsia="仿宋_GB2312" w:cs="Times New Roman"/>
          <w:bCs/>
          <w:color w:val="000000"/>
          <w:sz w:val="32"/>
          <w:szCs w:val="32"/>
        </w:rPr>
        <w:t>三</w:t>
      </w:r>
      <w:r>
        <w:rPr>
          <w:rFonts w:hint="eastAsia" w:ascii="仿宋_GB2312" w:eastAsia="仿宋_GB2312" w:cs="Times New Roman"/>
          <w:bCs/>
          <w:color w:val="000000"/>
          <w:sz w:val="32"/>
          <w:szCs w:val="32"/>
          <w:lang w:eastAsia="zh-CN"/>
        </w:rPr>
        <w:t>）</w:t>
      </w:r>
      <w:r>
        <w:rPr>
          <w:rFonts w:hint="eastAsia" w:ascii="仿宋_GB2312" w:eastAsia="仿宋_GB2312" w:cs="Times New Roman"/>
          <w:bCs/>
          <w:color w:val="000000"/>
          <w:sz w:val="32"/>
          <w:szCs w:val="32"/>
        </w:rPr>
        <w:t>发现重大险情或者隐患，立即采取相应抢救保护措施</w:t>
      </w:r>
      <w:r>
        <w:rPr>
          <w:rFonts w:hint="eastAsia" w:ascii="仿宋_GB2312" w:eastAsia="仿宋_GB2312" w:cs="Times New Roman"/>
          <w:bCs/>
          <w:color w:val="000000"/>
          <w:sz w:val="32"/>
          <w:szCs w:val="32"/>
          <w:lang w:eastAsia="zh-CN"/>
        </w:rPr>
        <w:t>，并</w:t>
      </w:r>
      <w:r>
        <w:rPr>
          <w:rFonts w:hint="eastAsia" w:ascii="仿宋_GB2312" w:eastAsia="仿宋_GB2312" w:cs="Times New Roman"/>
          <w:bCs/>
          <w:color w:val="000000"/>
          <w:sz w:val="32"/>
          <w:szCs w:val="32"/>
        </w:rPr>
        <w:t>向所在地</w:t>
      </w:r>
      <w:r>
        <w:rPr>
          <w:rFonts w:hint="eastAsia" w:ascii="仿宋_GB2312" w:eastAsia="仿宋_GB2312" w:cs="Times New Roman"/>
          <w:bCs/>
          <w:color w:val="000000"/>
          <w:sz w:val="32"/>
          <w:szCs w:val="32"/>
          <w:lang w:eastAsia="zh-CN"/>
        </w:rPr>
        <w:t>县级以上人民政府</w:t>
      </w:r>
      <w:r>
        <w:rPr>
          <w:rFonts w:hint="eastAsia" w:ascii="仿宋_GB2312" w:eastAsia="仿宋_GB2312" w:cs="Times New Roman"/>
          <w:bCs/>
          <w:color w:val="000000"/>
          <w:sz w:val="32"/>
          <w:szCs w:val="32"/>
        </w:rPr>
        <w:t>报告；</w:t>
      </w:r>
    </w:p>
    <w:p>
      <w:pPr>
        <w:widowControl w:val="0"/>
        <w:tabs>
          <w:tab w:val="left" w:pos="6720"/>
        </w:tabs>
        <w:wordWrap/>
        <w:overflowPunct w:val="0"/>
        <w:topLinePunct/>
        <w:adjustRightInd w:val="0"/>
        <w:snapToGrid w:val="0"/>
        <w:spacing w:line="600" w:lineRule="exact"/>
        <w:ind w:left="0" w:leftChars="0" w:right="0" w:firstLine="640" w:firstLineChars="200"/>
        <w:jc w:val="both"/>
        <w:textAlignment w:val="auto"/>
        <w:outlineLvl w:val="9"/>
        <w:rPr>
          <w:rFonts w:ascii="仿宋_GB2312" w:eastAsia="仿宋_GB2312" w:cs="Times New Roman"/>
          <w:bCs/>
          <w:color w:val="000000"/>
          <w:sz w:val="32"/>
          <w:szCs w:val="32"/>
        </w:rPr>
      </w:pPr>
      <w:r>
        <w:rPr>
          <w:rFonts w:hint="eastAsia" w:ascii="仿宋_GB2312" w:eastAsia="仿宋_GB2312" w:cs="Times New Roman"/>
          <w:bCs/>
          <w:color w:val="000000"/>
          <w:sz w:val="32"/>
          <w:szCs w:val="32"/>
          <w:lang w:eastAsia="zh-CN"/>
        </w:rPr>
        <w:t>（</w:t>
      </w:r>
      <w:r>
        <w:rPr>
          <w:rFonts w:hint="eastAsia" w:ascii="仿宋_GB2312" w:eastAsia="仿宋_GB2312" w:cs="Times New Roman"/>
          <w:bCs/>
          <w:color w:val="000000"/>
          <w:sz w:val="32"/>
          <w:szCs w:val="32"/>
        </w:rPr>
        <w:t>四</w:t>
      </w:r>
      <w:r>
        <w:rPr>
          <w:rFonts w:hint="eastAsia" w:ascii="仿宋_GB2312" w:eastAsia="仿宋_GB2312" w:cs="Times New Roman"/>
          <w:bCs/>
          <w:color w:val="000000"/>
          <w:sz w:val="32"/>
          <w:szCs w:val="32"/>
          <w:lang w:eastAsia="zh-CN"/>
        </w:rPr>
        <w:t>）</w:t>
      </w:r>
      <w:r>
        <w:rPr>
          <w:rFonts w:hint="eastAsia" w:ascii="仿宋_GB2312" w:eastAsia="仿宋_GB2312" w:cs="Times New Roman"/>
          <w:bCs/>
          <w:color w:val="000000"/>
          <w:sz w:val="32"/>
          <w:szCs w:val="32"/>
        </w:rPr>
        <w:t>配合有关部门进行监督检查、维修、宣传；</w:t>
      </w:r>
    </w:p>
    <w:p>
      <w:pPr>
        <w:widowControl w:val="0"/>
        <w:tabs>
          <w:tab w:val="left" w:pos="6720"/>
        </w:tabs>
        <w:wordWrap/>
        <w:overflowPunct w:val="0"/>
        <w:topLinePunct/>
        <w:adjustRightInd w:val="0"/>
        <w:snapToGrid w:val="0"/>
        <w:spacing w:line="600" w:lineRule="exact"/>
        <w:ind w:left="0" w:leftChars="0" w:right="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cs="Times New Roman"/>
          <w:bCs/>
          <w:color w:val="000000"/>
          <w:sz w:val="32"/>
          <w:szCs w:val="32"/>
          <w:lang w:eastAsia="zh-CN"/>
        </w:rPr>
        <w:t>（</w:t>
      </w:r>
      <w:r>
        <w:rPr>
          <w:rFonts w:hint="eastAsia" w:ascii="仿宋_GB2312" w:eastAsia="仿宋_GB2312" w:cs="Times New Roman"/>
          <w:bCs/>
          <w:color w:val="000000"/>
          <w:sz w:val="32"/>
          <w:szCs w:val="32"/>
        </w:rPr>
        <w:t>五</w:t>
      </w:r>
      <w:r>
        <w:rPr>
          <w:rFonts w:hint="eastAsia" w:ascii="仿宋_GB2312" w:eastAsia="仿宋_GB2312" w:cs="Times New Roman"/>
          <w:bCs/>
          <w:color w:val="000000"/>
          <w:sz w:val="32"/>
          <w:szCs w:val="32"/>
          <w:lang w:eastAsia="zh-CN"/>
        </w:rPr>
        <w:t>）</w:t>
      </w:r>
      <w:r>
        <w:rPr>
          <w:rFonts w:hint="eastAsia" w:ascii="仿宋_GB2312" w:eastAsia="仿宋_GB2312" w:cs="Times New Roman"/>
          <w:bCs/>
          <w:color w:val="000000"/>
          <w:sz w:val="32"/>
          <w:szCs w:val="32"/>
        </w:rPr>
        <w:t>法律、法规规定的其他责任。</w:t>
      </w:r>
    </w:p>
    <w:p>
      <w:pPr>
        <w:widowControl w:val="0"/>
        <w:tabs>
          <w:tab w:val="left" w:pos="6720"/>
        </w:tabs>
        <w:wordWrap/>
        <w:overflowPunct w:val="0"/>
        <w:adjustRightInd/>
        <w:snapToGrid/>
        <w:spacing w:line="600" w:lineRule="exact"/>
        <w:ind w:left="0" w:leftChars="0" w:right="0" w:firstLine="640" w:firstLineChars="200"/>
        <w:jc w:val="both"/>
        <w:textAlignment w:val="auto"/>
        <w:outlineLvl w:val="9"/>
        <w:rPr>
          <w:rFonts w:hint="eastAsia" w:ascii="仿宋_GB2312" w:eastAsia="仿宋_GB2312"/>
          <w:sz w:val="32"/>
          <w:szCs w:val="32"/>
        </w:rPr>
      </w:pPr>
      <w:r>
        <w:rPr>
          <w:rFonts w:hint="eastAsia" w:ascii="黑体" w:eastAsia="黑体" w:cs="黑体"/>
          <w:sz w:val="32"/>
          <w:szCs w:val="32"/>
        </w:rPr>
        <w:t>第二十条</w:t>
      </w:r>
      <w:r>
        <w:rPr>
          <w:rFonts w:hint="eastAsia" w:ascii="仿宋_GB2312" w:eastAsia="仿宋_GB2312" w:cs="楷体_GB2312"/>
          <w:spacing w:val="0"/>
          <w:sz w:val="32"/>
          <w:szCs w:val="32"/>
          <w:lang w:val="en-US" w:eastAsia="zh-CN"/>
        </w:rPr>
        <w:t>　</w:t>
      </w:r>
      <w:r>
        <w:rPr>
          <w:rFonts w:hint="eastAsia" w:ascii="仿宋_GB2312" w:eastAsia="仿宋_GB2312"/>
          <w:sz w:val="32"/>
          <w:szCs w:val="32"/>
        </w:rPr>
        <w:t>红色资源的修缮</w:t>
      </w:r>
      <w:r>
        <w:rPr>
          <w:rFonts w:hint="eastAsia" w:ascii="仿宋_GB2312" w:eastAsia="仿宋_GB2312"/>
          <w:sz w:val="32"/>
          <w:szCs w:val="32"/>
          <w:lang w:eastAsia="zh-CN"/>
        </w:rPr>
        <w:t>、</w:t>
      </w:r>
      <w:r>
        <w:rPr>
          <w:rFonts w:hint="eastAsia" w:ascii="仿宋_GB2312" w:eastAsia="仿宋_GB2312"/>
          <w:sz w:val="32"/>
          <w:szCs w:val="32"/>
        </w:rPr>
        <w:t>修复、复制、拓印，应当遵循</w:t>
      </w:r>
      <w:r>
        <w:rPr>
          <w:rFonts w:hint="eastAsia" w:ascii="仿宋_GB2312" w:eastAsia="仿宋_GB2312"/>
          <w:sz w:val="32"/>
          <w:szCs w:val="32"/>
          <w:lang w:eastAsia="zh-CN"/>
        </w:rPr>
        <w:t>尊重原貌</w:t>
      </w:r>
      <w:r>
        <w:rPr>
          <w:rFonts w:hint="eastAsia" w:ascii="仿宋_GB2312" w:eastAsia="仿宋_GB2312"/>
          <w:sz w:val="32"/>
          <w:szCs w:val="32"/>
        </w:rPr>
        <w:t>、最小干预的原则</w:t>
      </w:r>
      <w:r>
        <w:rPr>
          <w:rFonts w:hint="eastAsia" w:ascii="仿宋_GB2312" w:eastAsia="仿宋_GB2312"/>
          <w:sz w:val="32"/>
          <w:szCs w:val="32"/>
          <w:lang w:eastAsia="zh-CN"/>
        </w:rPr>
        <w:t>，</w:t>
      </w:r>
      <w:r>
        <w:rPr>
          <w:rFonts w:hint="eastAsia" w:ascii="仿宋_GB2312" w:eastAsia="仿宋_GB2312"/>
          <w:sz w:val="32"/>
          <w:szCs w:val="32"/>
        </w:rPr>
        <w:t>遵守相关技术规范</w:t>
      </w:r>
      <w:r>
        <w:rPr>
          <w:rFonts w:hint="eastAsia" w:ascii="仿宋_GB2312" w:eastAsia="仿宋_GB2312"/>
          <w:sz w:val="32"/>
          <w:szCs w:val="32"/>
          <w:lang w:eastAsia="zh-CN"/>
        </w:rPr>
        <w:t>，</w:t>
      </w:r>
      <w:r>
        <w:rPr>
          <w:rFonts w:hint="eastAsia" w:ascii="仿宋_GB2312" w:eastAsia="仿宋_GB2312"/>
          <w:sz w:val="32"/>
          <w:szCs w:val="32"/>
        </w:rPr>
        <w:t>并依法取得批准。</w:t>
      </w:r>
    </w:p>
    <w:p>
      <w:pPr>
        <w:widowControl w:val="0"/>
        <w:tabs>
          <w:tab w:val="left" w:pos="6720"/>
        </w:tabs>
        <w:wordWrap/>
        <w:overflowPunct w:val="0"/>
        <w:spacing w:line="600" w:lineRule="exact"/>
        <w:ind w:left="0" w:leftChars="0" w:right="0" w:firstLine="640" w:firstLineChars="200"/>
        <w:textAlignment w:val="auto"/>
        <w:outlineLvl w:val="9"/>
        <w:rPr>
          <w:rFonts w:hint="eastAsia" w:ascii="仿宋_GB2312" w:eastAsia="仿宋_GB2312"/>
          <w:sz w:val="32"/>
          <w:szCs w:val="32"/>
        </w:rPr>
      </w:pPr>
      <w:r>
        <w:rPr>
          <w:rFonts w:hint="eastAsia" w:ascii="黑体" w:eastAsia="黑体" w:cs="黑体"/>
          <w:sz w:val="32"/>
          <w:szCs w:val="32"/>
        </w:rPr>
        <w:t>第二十</w:t>
      </w:r>
      <w:r>
        <w:rPr>
          <w:rFonts w:hint="eastAsia" w:ascii="黑体" w:eastAsia="黑体" w:cs="黑体"/>
          <w:sz w:val="32"/>
          <w:szCs w:val="32"/>
          <w:lang w:eastAsia="zh-CN"/>
        </w:rPr>
        <w:t>一</w:t>
      </w:r>
      <w:r>
        <w:rPr>
          <w:rFonts w:hint="eastAsia" w:ascii="黑体" w:eastAsia="黑体" w:cs="黑体"/>
          <w:sz w:val="32"/>
          <w:szCs w:val="32"/>
        </w:rPr>
        <w:t>条</w:t>
      </w:r>
      <w:r>
        <w:rPr>
          <w:rFonts w:hint="eastAsia" w:ascii="仿宋_GB2312" w:eastAsia="仿宋_GB2312" w:cs="楷体_GB2312"/>
          <w:spacing w:val="0"/>
          <w:sz w:val="32"/>
          <w:szCs w:val="32"/>
          <w:lang w:val="en-US" w:eastAsia="zh-CN"/>
        </w:rPr>
        <w:t>　</w:t>
      </w:r>
      <w:r>
        <w:rPr>
          <w:rFonts w:hint="eastAsia" w:ascii="仿宋_GB2312" w:eastAsia="仿宋_GB2312" w:cs="Times New Roman"/>
          <w:bCs/>
          <w:color w:val="000000"/>
          <w:sz w:val="32"/>
          <w:szCs w:val="32"/>
        </w:rPr>
        <w:t>县级以上人民政府应当开展红色资源保护状况监测和评估，采取措施防御火灾、</w:t>
      </w:r>
      <w:r>
        <w:rPr>
          <w:rFonts w:hint="eastAsia" w:ascii="仿宋_GB2312" w:eastAsia="仿宋_GB2312" w:cs="Times New Roman"/>
          <w:bCs/>
          <w:color w:val="000000"/>
          <w:sz w:val="32"/>
          <w:szCs w:val="32"/>
          <w:lang w:eastAsia="zh-CN"/>
        </w:rPr>
        <w:t>洪涝、滑坡、泥石流</w:t>
      </w:r>
      <w:r>
        <w:rPr>
          <w:rFonts w:hint="eastAsia" w:ascii="仿宋_GB2312" w:eastAsia="仿宋_GB2312" w:cs="Times New Roman"/>
          <w:bCs/>
          <w:color w:val="000000"/>
          <w:sz w:val="32"/>
          <w:szCs w:val="32"/>
        </w:rPr>
        <w:t>等灾害影响</w:t>
      </w:r>
      <w:r>
        <w:rPr>
          <w:rFonts w:hint="eastAsia" w:ascii="仿宋_GB2312" w:eastAsia="仿宋_GB2312" w:cs="Times New Roman"/>
          <w:bCs/>
          <w:color w:val="000000"/>
          <w:sz w:val="32"/>
          <w:szCs w:val="32"/>
          <w:lang w:eastAsia="zh-CN"/>
        </w:rPr>
        <w:t>。</w:t>
      </w:r>
    </w:p>
    <w:p>
      <w:pPr>
        <w:widowControl w:val="0"/>
        <w:tabs>
          <w:tab w:val="left" w:pos="6720"/>
        </w:tabs>
        <w:wordWrap/>
        <w:overflowPunct w:val="0"/>
        <w:spacing w:line="600" w:lineRule="exact"/>
        <w:ind w:left="0" w:leftChars="0" w:right="0" w:firstLine="640" w:firstLineChars="200"/>
        <w:textAlignment w:val="auto"/>
        <w:outlineLvl w:val="9"/>
        <w:rPr>
          <w:rFonts w:hint="eastAsia" w:ascii="仿宋_GB2312" w:eastAsia="仿宋_GB2312"/>
          <w:sz w:val="32"/>
          <w:szCs w:val="32"/>
        </w:rPr>
      </w:pPr>
      <w:r>
        <w:rPr>
          <w:rFonts w:hint="eastAsia" w:eastAsia="仿宋_GB2312" w:cs="仿宋_GB2312"/>
          <w:sz w:val="32"/>
          <w:szCs w:val="32"/>
        </w:rPr>
        <w:t>对濒临灭失、毁损或者存在</w:t>
      </w:r>
      <w:r>
        <w:rPr>
          <w:rFonts w:hint="eastAsia" w:ascii="仿宋_GB2312" w:eastAsia="仿宋_GB2312"/>
          <w:sz w:val="32"/>
          <w:szCs w:val="32"/>
        </w:rPr>
        <w:t>坍塌、损坏、灭失</w:t>
      </w:r>
      <w:r>
        <w:rPr>
          <w:rFonts w:hint="eastAsia" w:ascii="仿宋_GB2312" w:eastAsia="仿宋_GB2312"/>
          <w:sz w:val="32"/>
          <w:szCs w:val="32"/>
          <w:lang w:eastAsia="zh-CN"/>
        </w:rPr>
        <w:t>等</w:t>
      </w:r>
      <w:r>
        <w:rPr>
          <w:rFonts w:hint="eastAsia" w:eastAsia="仿宋_GB2312" w:cs="仿宋_GB2312"/>
          <w:sz w:val="32"/>
          <w:szCs w:val="32"/>
        </w:rPr>
        <w:t>重大安全隐患的红色资源，文化和旅游</w:t>
      </w:r>
      <w:r>
        <w:rPr>
          <w:rFonts w:hint="eastAsia" w:eastAsia="仿宋_GB2312" w:cs="仿宋_GB2312"/>
          <w:sz w:val="32"/>
          <w:szCs w:val="32"/>
          <w:lang w:eastAsia="zh-CN"/>
        </w:rPr>
        <w:t>（文物）</w:t>
      </w:r>
      <w:r>
        <w:rPr>
          <w:rFonts w:hint="eastAsia" w:eastAsia="仿宋_GB2312" w:cs="仿宋_GB2312"/>
          <w:sz w:val="32"/>
          <w:szCs w:val="32"/>
        </w:rPr>
        <w:t>、退役军人、</w:t>
      </w:r>
      <w:r>
        <w:rPr>
          <w:rFonts w:hint="eastAsia" w:eastAsia="仿宋_GB2312" w:cs="仿宋_GB2312"/>
          <w:sz w:val="32"/>
          <w:szCs w:val="32"/>
          <w:lang w:eastAsia="zh-CN"/>
        </w:rPr>
        <w:t>自然</w:t>
      </w:r>
      <w:r>
        <w:rPr>
          <w:rFonts w:hint="eastAsia" w:eastAsia="仿宋_GB2312" w:cs="仿宋_GB2312"/>
          <w:sz w:val="32"/>
          <w:szCs w:val="32"/>
        </w:rPr>
        <w:t>资源、住房城乡建设等部门以及党史、档案部门应当按照各自职责及时组织开展抢救性保护。</w:t>
      </w:r>
    </w:p>
    <w:p>
      <w:pPr>
        <w:pStyle w:val="2"/>
        <w:widowControl w:val="0"/>
        <w:tabs>
          <w:tab w:val="left" w:pos="6720"/>
        </w:tabs>
        <w:wordWrap/>
        <w:overflowPunct w:val="0"/>
        <w:adjustRightInd/>
        <w:snapToGrid/>
        <w:spacing w:line="600" w:lineRule="exact"/>
        <w:ind w:left="0" w:leftChars="0" w:right="0" w:firstLine="640" w:firstLineChars="200"/>
        <w:textAlignment w:val="auto"/>
        <w:outlineLvl w:val="9"/>
        <w:rPr>
          <w:rFonts w:hint="eastAsia"/>
          <w:sz w:val="32"/>
          <w:szCs w:val="32"/>
          <w:lang w:eastAsia="zh-CN"/>
        </w:rPr>
      </w:pPr>
      <w:r>
        <w:rPr>
          <w:rFonts w:hint="eastAsia" w:ascii="仿宋_GB2312" w:hAnsi="仿宋_GB2312" w:eastAsia="仿宋_GB2312" w:cs="仿宋_GB2312"/>
          <w:color w:val="000000"/>
          <w:sz w:val="32"/>
          <w:szCs w:val="32"/>
          <w:lang w:val="zh-CN"/>
        </w:rPr>
        <w:t>对散落民间的手稿、书信、口述记忆等红色资源，应当加强抢救性保护。</w:t>
      </w:r>
    </w:p>
    <w:p>
      <w:pPr>
        <w:widowControl w:val="0"/>
        <w:tabs>
          <w:tab w:val="left" w:pos="6720"/>
        </w:tabs>
        <w:wordWrap/>
        <w:overflowPunct w:val="0"/>
        <w:adjustRightInd/>
        <w:snapToGrid/>
        <w:spacing w:line="600" w:lineRule="exact"/>
        <w:ind w:left="0" w:leftChars="0" w:right="0" w:firstLine="640" w:firstLineChars="200"/>
        <w:jc w:val="both"/>
        <w:textAlignment w:val="auto"/>
        <w:outlineLvl w:val="9"/>
        <w:rPr>
          <w:rFonts w:hint="eastAsia" w:ascii="仿宋_GB2312" w:eastAsia="仿宋_GB2312"/>
          <w:sz w:val="32"/>
          <w:szCs w:val="32"/>
        </w:rPr>
      </w:pPr>
      <w:r>
        <w:rPr>
          <w:rFonts w:hint="eastAsia" w:ascii="黑体" w:eastAsia="黑体" w:cs="黑体"/>
          <w:sz w:val="32"/>
          <w:szCs w:val="32"/>
        </w:rPr>
        <w:t>第二十</w:t>
      </w:r>
      <w:r>
        <w:rPr>
          <w:rFonts w:hint="eastAsia" w:ascii="黑体" w:eastAsia="黑体" w:cs="黑体"/>
          <w:sz w:val="32"/>
          <w:szCs w:val="32"/>
          <w:lang w:eastAsia="zh-CN"/>
        </w:rPr>
        <w:t>二</w:t>
      </w:r>
      <w:r>
        <w:rPr>
          <w:rFonts w:hint="eastAsia" w:ascii="黑体" w:eastAsia="黑体" w:cs="黑体"/>
          <w:sz w:val="32"/>
          <w:szCs w:val="32"/>
        </w:rPr>
        <w:t>条</w:t>
      </w:r>
      <w:r>
        <w:rPr>
          <w:rFonts w:hint="eastAsia" w:ascii="仿宋_GB2312" w:eastAsia="仿宋_GB2312" w:cs="楷体_GB2312"/>
          <w:spacing w:val="0"/>
          <w:sz w:val="32"/>
          <w:szCs w:val="32"/>
          <w:lang w:val="en-US" w:eastAsia="zh-CN"/>
        </w:rPr>
        <w:t>　</w:t>
      </w:r>
      <w:r>
        <w:rPr>
          <w:rFonts w:hint="eastAsia" w:ascii="仿宋_GB2312" w:eastAsia="仿宋_GB2312"/>
          <w:sz w:val="32"/>
          <w:szCs w:val="32"/>
        </w:rPr>
        <w:t>在进行工程建设、农业生产或者其他作业中，任何组织和个人发现红色资源，应当主动保护好现场，并立即报告</w:t>
      </w:r>
      <w:r>
        <w:rPr>
          <w:rFonts w:hint="eastAsia" w:ascii="仿宋_GB2312" w:eastAsia="仿宋_GB2312"/>
          <w:sz w:val="32"/>
          <w:szCs w:val="32"/>
          <w:lang w:eastAsia="zh-CN"/>
        </w:rPr>
        <w:t>当地</w:t>
      </w:r>
      <w:r>
        <w:rPr>
          <w:rFonts w:hint="eastAsia" w:ascii="仿宋_GB2312" w:eastAsia="仿宋_GB2312" w:cs="仿宋_GB2312"/>
          <w:color w:val="000000"/>
          <w:sz w:val="32"/>
          <w:szCs w:val="32"/>
          <w:lang w:val="zh-CN"/>
        </w:rPr>
        <w:t>文化和旅游（文物）部门</w:t>
      </w:r>
      <w:r>
        <w:rPr>
          <w:rFonts w:hint="eastAsia" w:ascii="仿宋_GB2312" w:eastAsia="仿宋_GB2312"/>
          <w:sz w:val="32"/>
          <w:szCs w:val="32"/>
        </w:rPr>
        <w:t>。</w:t>
      </w:r>
      <w:r>
        <w:rPr>
          <w:rFonts w:hint="eastAsia" w:ascii="仿宋_GB2312" w:eastAsia="仿宋_GB2312" w:cs="仿宋_GB2312"/>
          <w:color w:val="000000"/>
          <w:sz w:val="32"/>
          <w:szCs w:val="32"/>
          <w:lang w:val="zh-CN"/>
        </w:rPr>
        <w:t>文化和旅游（文物）部门</w:t>
      </w:r>
      <w:r>
        <w:rPr>
          <w:rFonts w:hint="eastAsia" w:ascii="仿宋_GB2312" w:eastAsia="仿宋_GB2312"/>
          <w:sz w:val="32"/>
          <w:szCs w:val="32"/>
        </w:rPr>
        <w:t>应当及时</w:t>
      </w:r>
      <w:r>
        <w:rPr>
          <w:rFonts w:hint="eastAsia" w:ascii="仿宋_GB2312" w:eastAsia="仿宋_GB2312"/>
          <w:sz w:val="32"/>
          <w:szCs w:val="32"/>
          <w:lang w:eastAsia="zh-CN"/>
        </w:rPr>
        <w:t>派员</w:t>
      </w:r>
      <w:r>
        <w:rPr>
          <w:rFonts w:hint="eastAsia" w:ascii="仿宋_GB2312" w:eastAsia="仿宋_GB2312"/>
          <w:sz w:val="32"/>
          <w:szCs w:val="32"/>
        </w:rPr>
        <w:t>赶赴现场，采取必要保护措施，提出处理意见。</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val="zh-CN"/>
        </w:rPr>
      </w:pPr>
      <w:r>
        <w:rPr>
          <w:rFonts w:hint="eastAsia" w:ascii="黑体" w:eastAsia="黑体" w:cs="黑体"/>
          <w:sz w:val="32"/>
          <w:szCs w:val="32"/>
        </w:rPr>
        <w:t>第二十</w:t>
      </w:r>
      <w:r>
        <w:rPr>
          <w:rFonts w:hint="eastAsia" w:ascii="黑体" w:eastAsia="黑体" w:cs="黑体"/>
          <w:sz w:val="32"/>
          <w:szCs w:val="32"/>
          <w:lang w:eastAsia="zh-CN"/>
        </w:rPr>
        <w:t>三</w:t>
      </w:r>
      <w:r>
        <w:rPr>
          <w:rFonts w:hint="eastAsia" w:ascii="黑体" w:eastAsia="黑体" w:cs="黑体"/>
          <w:sz w:val="32"/>
          <w:szCs w:val="32"/>
        </w:rPr>
        <w:t>条</w:t>
      </w:r>
      <w:r>
        <w:rPr>
          <w:rFonts w:hint="eastAsia" w:ascii="仿宋_GB2312" w:eastAsia="仿宋_GB2312" w:cs="楷体_GB2312"/>
          <w:spacing w:val="0"/>
          <w:sz w:val="32"/>
          <w:szCs w:val="32"/>
          <w:lang w:val="en-US" w:eastAsia="zh-CN"/>
        </w:rPr>
        <w:t>　</w:t>
      </w:r>
      <w:r>
        <w:rPr>
          <w:rFonts w:hint="eastAsia" w:ascii="仿宋_GB2312" w:hAnsi="仿宋_GB2312" w:eastAsia="仿宋_GB2312" w:cs="仿宋_GB2312"/>
          <w:color w:val="000000"/>
          <w:sz w:val="32"/>
          <w:szCs w:val="32"/>
          <w:lang w:val="zh-CN"/>
        </w:rPr>
        <w:t>鼓励档案馆、博物馆、纪念馆、党史馆、美术馆、图书馆、陈列馆等保管、收藏、研究单位，对属于红色资源的重要档案、文献、手稿、声像资料和实物等进行征集、收购。征集、收购应当遵循公平、自愿的原则。</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sz w:val="32"/>
          <w:szCs w:val="32"/>
          <w:lang w:val="zh-CN"/>
        </w:rPr>
      </w:pPr>
      <w:r>
        <w:rPr>
          <w:rFonts w:hint="eastAsia" w:ascii="仿宋_GB2312" w:hAnsi="仿宋_GB2312" w:eastAsia="仿宋_GB2312" w:cs="仿宋_GB2312"/>
          <w:color w:val="000000"/>
          <w:sz w:val="32"/>
          <w:szCs w:val="32"/>
          <w:lang w:val="zh-CN"/>
        </w:rPr>
        <w:t>鼓励单位和个人将收藏的红色资源捐赠或者出借给保管、收藏、研究单位进行展览和研究。保管、收藏、研究单位应当尊重捐赠人或者出借人的意愿，对捐赠或者出借的物品妥善收藏、保管和展示。</w:t>
      </w:r>
    </w:p>
    <w:p>
      <w:pPr>
        <w:widowControl w:val="0"/>
        <w:tabs>
          <w:tab w:val="left" w:pos="6720"/>
        </w:tabs>
        <w:wordWrap/>
        <w:overflowPunct w:val="0"/>
        <w:adjustRightInd/>
        <w:snapToGrid/>
        <w:spacing w:after="290" w:afterLines="100" w:line="600" w:lineRule="exact"/>
        <w:ind w:left="0" w:leftChars="0" w:right="0" w:firstLine="0" w:firstLineChars="0"/>
        <w:jc w:val="center"/>
        <w:textAlignment w:val="auto"/>
        <w:outlineLvl w:val="9"/>
        <w:rPr>
          <w:rFonts w:hint="eastAsia" w:ascii="黑体" w:hAnsi="黑体" w:eastAsia="黑体" w:cs="黑体"/>
          <w:bCs/>
          <w:color w:val="000000"/>
          <w:sz w:val="32"/>
          <w:szCs w:val="32"/>
          <w:lang w:val="zh-CN" w:eastAsia="zh-CN"/>
        </w:rPr>
      </w:pPr>
      <w:r>
        <w:rPr>
          <w:rFonts w:hint="eastAsia" w:ascii="黑体" w:hAnsi="黑体" w:eastAsia="黑体" w:cs="黑体"/>
          <w:bCs/>
          <w:color w:val="000000"/>
          <w:sz w:val="32"/>
          <w:szCs w:val="32"/>
          <w:lang w:val="zh-CN"/>
        </w:rPr>
        <w:t>第四章</w:t>
      </w:r>
      <w:r>
        <w:rPr>
          <w:rFonts w:hint="eastAsia" w:ascii="黑体" w:hAnsi="黑体" w:eastAsia="黑体" w:cs="黑体"/>
          <w:bCs/>
          <w:color w:val="000000"/>
          <w:sz w:val="32"/>
          <w:szCs w:val="32"/>
          <w:lang w:val="en-US" w:eastAsia="zh-CN"/>
        </w:rPr>
        <w:t xml:space="preserve">  </w:t>
      </w:r>
      <w:r>
        <w:rPr>
          <w:rFonts w:hint="eastAsia" w:ascii="黑体" w:hAnsi="黑体" w:eastAsia="黑体" w:cs="黑体"/>
          <w:bCs/>
          <w:color w:val="000000"/>
          <w:sz w:val="32"/>
          <w:szCs w:val="32"/>
          <w:lang w:val="zh-CN"/>
        </w:rPr>
        <w:t>传承</w:t>
      </w:r>
      <w:r>
        <w:rPr>
          <w:rFonts w:hint="eastAsia" w:ascii="黑体" w:hAnsi="黑体" w:eastAsia="黑体" w:cs="黑体"/>
          <w:bCs/>
          <w:color w:val="000000"/>
          <w:sz w:val="32"/>
          <w:szCs w:val="32"/>
          <w:lang w:val="zh-CN" w:eastAsia="zh-CN"/>
        </w:rPr>
        <w:t>利用</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仿宋_GB2312" w:eastAsia="仿宋_GB2312"/>
          <w:sz w:val="32"/>
          <w:szCs w:val="32"/>
        </w:rPr>
      </w:pPr>
      <w:r>
        <w:rPr>
          <w:rFonts w:hint="eastAsia" w:ascii="黑体" w:eastAsia="黑体" w:cs="黑体"/>
          <w:sz w:val="32"/>
          <w:szCs w:val="32"/>
        </w:rPr>
        <w:t>第二十</w:t>
      </w:r>
      <w:r>
        <w:rPr>
          <w:rFonts w:hint="eastAsia" w:ascii="黑体" w:eastAsia="黑体" w:cs="黑体"/>
          <w:sz w:val="32"/>
          <w:szCs w:val="32"/>
          <w:lang w:eastAsia="zh-CN"/>
        </w:rPr>
        <w:t>四</w:t>
      </w:r>
      <w:r>
        <w:rPr>
          <w:rFonts w:hint="eastAsia" w:ascii="黑体" w:eastAsia="黑体" w:cs="黑体"/>
          <w:sz w:val="32"/>
          <w:szCs w:val="32"/>
        </w:rPr>
        <w:t>条</w:t>
      </w:r>
      <w:r>
        <w:rPr>
          <w:rFonts w:hint="eastAsia" w:ascii="仿宋_GB2312" w:eastAsia="仿宋_GB2312" w:cs="楷体_GB2312"/>
          <w:spacing w:val="0"/>
          <w:sz w:val="32"/>
          <w:szCs w:val="32"/>
          <w:lang w:val="en-US" w:eastAsia="zh-CN"/>
        </w:rPr>
        <w:t>　</w:t>
      </w:r>
      <w:r>
        <w:rPr>
          <w:rFonts w:hint="eastAsia" w:ascii="仿宋_GB2312" w:eastAsia="仿宋_GB2312"/>
          <w:sz w:val="32"/>
          <w:szCs w:val="32"/>
        </w:rPr>
        <w:t>坚持把红色资源作为坚定理想信念的生动教材，开展党史、新中国史、改革开放史</w:t>
      </w:r>
      <w:r>
        <w:rPr>
          <w:rFonts w:hint="eastAsia" w:ascii="仿宋_GB2312" w:eastAsia="仿宋_GB2312"/>
          <w:sz w:val="32"/>
          <w:szCs w:val="32"/>
          <w:lang w:eastAsia="zh-CN"/>
        </w:rPr>
        <w:t>、</w:t>
      </w:r>
      <w:r>
        <w:rPr>
          <w:rFonts w:hint="eastAsia" w:ascii="仿宋_GB2312" w:eastAsia="仿宋_GB2312"/>
          <w:sz w:val="32"/>
          <w:szCs w:val="32"/>
        </w:rPr>
        <w:t>社会主义发展史和</w:t>
      </w:r>
      <w:r>
        <w:rPr>
          <w:rFonts w:hint="eastAsia" w:ascii="仿宋_GB2312" w:eastAsia="仿宋_GB2312"/>
          <w:sz w:val="32"/>
          <w:szCs w:val="32"/>
          <w:lang w:eastAsia="zh-CN"/>
        </w:rPr>
        <w:t>中华民族发展史</w:t>
      </w:r>
      <w:r>
        <w:rPr>
          <w:rFonts w:hint="eastAsia" w:ascii="仿宋_GB2312" w:eastAsia="仿宋_GB2312"/>
          <w:sz w:val="32"/>
          <w:szCs w:val="32"/>
        </w:rPr>
        <w:t>宣传教育，实施革命文物</w:t>
      </w:r>
      <w:r>
        <w:rPr>
          <w:rFonts w:hint="eastAsia" w:ascii="仿宋_GB2312" w:eastAsia="仿宋_GB2312"/>
          <w:sz w:val="32"/>
          <w:szCs w:val="32"/>
          <w:lang w:eastAsia="zh-CN"/>
        </w:rPr>
        <w:t>保护传承利用</w:t>
      </w:r>
      <w:r>
        <w:rPr>
          <w:rFonts w:hint="eastAsia" w:ascii="仿宋_GB2312" w:eastAsia="仿宋_GB2312"/>
          <w:sz w:val="32"/>
          <w:szCs w:val="32"/>
        </w:rPr>
        <w:t>工程，弘扬伟大建党精神，推动长征精神、</w:t>
      </w:r>
      <w:r>
        <w:rPr>
          <w:rFonts w:hint="eastAsia" w:ascii="仿宋_GB2312" w:eastAsia="仿宋_GB2312"/>
          <w:sz w:val="32"/>
          <w:szCs w:val="32"/>
          <w:lang w:eastAsia="zh-CN"/>
        </w:rPr>
        <w:t>遵义会议</w:t>
      </w:r>
      <w:r>
        <w:rPr>
          <w:rFonts w:hint="eastAsia" w:ascii="仿宋_GB2312" w:eastAsia="仿宋_GB2312"/>
          <w:sz w:val="32"/>
          <w:szCs w:val="32"/>
        </w:rPr>
        <w:t>精神、</w:t>
      </w:r>
      <w:r>
        <w:rPr>
          <w:rFonts w:hint="eastAsia" w:ascii="仿宋_GB2312" w:eastAsia="仿宋_GB2312"/>
          <w:sz w:val="32"/>
          <w:szCs w:val="32"/>
          <w:lang w:eastAsia="zh-CN"/>
        </w:rPr>
        <w:t>改革开放精神、</w:t>
      </w:r>
      <w:r>
        <w:rPr>
          <w:rFonts w:hint="eastAsia" w:ascii="仿宋_GB2312" w:eastAsia="仿宋_GB2312"/>
          <w:sz w:val="32"/>
          <w:szCs w:val="32"/>
          <w:lang w:val="en-US" w:eastAsia="zh-CN"/>
        </w:rPr>
        <w:t>脱贫攻坚精神、新时代贵州精神</w:t>
      </w:r>
      <w:r>
        <w:rPr>
          <w:rFonts w:hint="eastAsia" w:ascii="仿宋_GB2312" w:eastAsia="仿宋_GB2312"/>
          <w:sz w:val="32"/>
          <w:szCs w:val="32"/>
        </w:rPr>
        <w:t>等的研究阐释，发挥红色资源固本培元、凝心聚力、铸魂育人、推动发展的作用。</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仿宋_GB2312" w:eastAsia="仿宋_GB2312"/>
          <w:sz w:val="32"/>
          <w:szCs w:val="32"/>
        </w:rPr>
      </w:pPr>
      <w:r>
        <w:rPr>
          <w:rFonts w:ascii="黑体" w:eastAsia="黑体" w:cs="黑体"/>
          <w:sz w:val="32"/>
          <w:szCs w:val="32"/>
        </w:rPr>
        <w:t>第二十</w:t>
      </w:r>
      <w:r>
        <w:rPr>
          <w:rFonts w:hint="eastAsia" w:ascii="黑体" w:eastAsia="黑体" w:cs="黑体"/>
          <w:sz w:val="32"/>
          <w:szCs w:val="32"/>
          <w:lang w:eastAsia="zh-CN"/>
        </w:rPr>
        <w:t>五</w:t>
      </w:r>
      <w:r>
        <w:rPr>
          <w:rFonts w:ascii="黑体" w:eastAsia="黑体" w:cs="黑体"/>
          <w:sz w:val="32"/>
          <w:szCs w:val="32"/>
        </w:rPr>
        <w:t>条</w:t>
      </w:r>
      <w:r>
        <w:rPr>
          <w:rFonts w:ascii="仿宋_GB2312" w:eastAsia="仿宋_GB2312" w:cs="仿宋_GB2312"/>
          <w:sz w:val="32"/>
          <w:szCs w:val="32"/>
        </w:rPr>
        <w:t>　</w:t>
      </w:r>
      <w:r>
        <w:rPr>
          <w:rFonts w:hint="eastAsia" w:ascii="仿宋_GB2312" w:eastAsia="仿宋_GB2312"/>
          <w:sz w:val="32"/>
          <w:szCs w:val="32"/>
        </w:rPr>
        <w:t>宣传、党史、档案</w:t>
      </w:r>
      <w:r>
        <w:rPr>
          <w:rFonts w:hint="eastAsia" w:ascii="仿宋_GB2312" w:eastAsia="仿宋_GB2312"/>
          <w:sz w:val="32"/>
          <w:szCs w:val="32"/>
          <w:lang w:eastAsia="zh-CN"/>
        </w:rPr>
        <w:t>、文化和旅游（文物）、教育</w:t>
      </w:r>
      <w:r>
        <w:rPr>
          <w:rFonts w:hint="eastAsia" w:ascii="仿宋_GB2312" w:eastAsia="仿宋_GB2312"/>
          <w:sz w:val="32"/>
          <w:szCs w:val="32"/>
        </w:rPr>
        <w:t>等部门和社科研究、党校（行政学院）、高等院校等机构以及学术团体</w:t>
      </w:r>
      <w:r>
        <w:rPr>
          <w:rFonts w:ascii="仿宋_GB2312" w:eastAsia="仿宋_GB2312" w:cs="仿宋_GB2312"/>
          <w:sz w:val="32"/>
          <w:szCs w:val="32"/>
        </w:rPr>
        <w:t>组织开展红色资源理论研究，加强档案整理利用研究，挖掘</w:t>
      </w:r>
      <w:r>
        <w:rPr>
          <w:rFonts w:hint="eastAsia" w:ascii="仿宋_GB2312" w:eastAsia="仿宋_GB2312" w:cs="仿宋_GB2312"/>
          <w:sz w:val="32"/>
          <w:szCs w:val="32"/>
          <w:lang w:eastAsia="zh-CN"/>
        </w:rPr>
        <w:t>、宣传、阐释</w:t>
      </w:r>
      <w:r>
        <w:rPr>
          <w:rFonts w:ascii="仿宋_GB2312" w:eastAsia="仿宋_GB2312" w:cs="仿宋_GB2312"/>
          <w:sz w:val="32"/>
          <w:szCs w:val="32"/>
        </w:rPr>
        <w:t>本省红色资源的历史价值和时代内涵</w:t>
      </w:r>
      <w:r>
        <w:rPr>
          <w:rFonts w:hint="eastAsia" w:ascii="仿宋_GB2312" w:eastAsia="仿宋_GB2312" w:cs="仿宋_GB2312"/>
          <w:sz w:val="32"/>
          <w:szCs w:val="32"/>
          <w:lang w:eastAsia="zh-CN"/>
        </w:rPr>
        <w:t>，</w:t>
      </w:r>
      <w:r>
        <w:rPr>
          <w:rFonts w:hint="eastAsia" w:ascii="仿宋_GB2312" w:eastAsia="仿宋_GB2312"/>
          <w:sz w:val="32"/>
          <w:szCs w:val="32"/>
        </w:rPr>
        <w:t>共建学术交流平台，提升红色资源学术研究的影响力。</w:t>
      </w:r>
    </w:p>
    <w:p>
      <w:pPr>
        <w:pStyle w:val="2"/>
        <w:widowControl w:val="0"/>
        <w:tabs>
          <w:tab w:val="left" w:pos="6720"/>
        </w:tabs>
        <w:wordWrap/>
        <w:overflowPunct w:val="0"/>
        <w:spacing w:line="600" w:lineRule="exact"/>
        <w:ind w:left="0" w:leftChars="0" w:right="0" w:firstLine="640" w:firstLineChars="200"/>
        <w:textAlignment w:val="auto"/>
        <w:outlineLvl w:val="9"/>
        <w:rPr>
          <w:rFonts w:hint="default" w:eastAsia="仿宋_GB2312"/>
          <w:sz w:val="32"/>
          <w:szCs w:val="32"/>
          <w:lang w:val="en-US" w:eastAsia="zh-CN"/>
        </w:rPr>
      </w:pPr>
      <w:r>
        <w:rPr>
          <w:rFonts w:hint="eastAsia" w:ascii="仿宋_GB2312" w:eastAsia="仿宋_GB2312"/>
          <w:sz w:val="32"/>
          <w:szCs w:val="32"/>
          <w:lang w:val="en-US" w:eastAsia="zh-CN"/>
        </w:rPr>
        <w:t>鼓励和支持红色资源宣传宣讲</w:t>
      </w:r>
      <w:r>
        <w:rPr>
          <w:rFonts w:hint="eastAsia" w:ascii="仿宋_GB2312" w:hAnsi="仿宋_GB2312" w:cs="仿宋_GB2312"/>
          <w:b w:val="0"/>
          <w:kern w:val="2"/>
          <w:sz w:val="32"/>
          <w:szCs w:val="32"/>
          <w:lang w:val="en-US" w:eastAsia="zh-CN" w:bidi="ar-SA"/>
        </w:rPr>
        <w:t>进机关、进校园、进军营、进</w:t>
      </w:r>
      <w:r>
        <w:rPr>
          <w:rFonts w:hint="eastAsia" w:ascii="仿宋_GB2312" w:hAnsi="Times New Roman" w:eastAsia="仿宋_GB2312" w:cs="仿宋_GB2312"/>
          <w:kern w:val="2"/>
          <w:sz w:val="32"/>
          <w:szCs w:val="32"/>
          <w:lang w:val="en-US" w:eastAsia="zh-CN" w:bidi="ar-SA"/>
        </w:rPr>
        <w:t>企业、进社区、进村寨、进网络，引导社会公众参与红色资源的传承弘扬。</w:t>
      </w:r>
    </w:p>
    <w:p>
      <w:pPr>
        <w:widowControl w:val="0"/>
        <w:tabs>
          <w:tab w:val="left" w:pos="6720"/>
        </w:tabs>
        <w:wordWrap/>
        <w:overflowPunct w:val="0"/>
        <w:spacing w:line="600" w:lineRule="exact"/>
        <w:ind w:left="0" w:leftChars="0" w:right="0" w:firstLine="640" w:firstLineChars="200"/>
        <w:jc w:val="both"/>
        <w:textAlignment w:val="auto"/>
        <w:outlineLvl w:val="9"/>
        <w:rPr>
          <w:rFonts w:ascii="仿宋_GB2312" w:eastAsia="仿宋_GB2312" w:cs="仿宋_GB2312"/>
          <w:sz w:val="32"/>
          <w:szCs w:val="32"/>
        </w:rPr>
      </w:pPr>
      <w:r>
        <w:rPr>
          <w:rFonts w:ascii="黑体" w:eastAsia="黑体" w:cs="黑体"/>
          <w:sz w:val="32"/>
          <w:szCs w:val="32"/>
        </w:rPr>
        <w:t>第</w:t>
      </w:r>
      <w:r>
        <w:rPr>
          <w:rFonts w:hint="eastAsia" w:ascii="黑体" w:eastAsia="黑体" w:cs="黑体"/>
          <w:sz w:val="32"/>
          <w:szCs w:val="32"/>
          <w:lang w:eastAsia="zh-CN"/>
        </w:rPr>
        <w:t>二</w:t>
      </w:r>
      <w:r>
        <w:rPr>
          <w:rFonts w:ascii="黑体" w:eastAsia="黑体" w:cs="黑体"/>
          <w:sz w:val="32"/>
          <w:szCs w:val="32"/>
        </w:rPr>
        <w:t>十</w:t>
      </w:r>
      <w:r>
        <w:rPr>
          <w:rFonts w:hint="eastAsia" w:ascii="黑体" w:eastAsia="黑体" w:cs="黑体"/>
          <w:sz w:val="32"/>
          <w:szCs w:val="32"/>
          <w:lang w:eastAsia="zh-CN"/>
        </w:rPr>
        <w:t>六</w:t>
      </w:r>
      <w:r>
        <w:rPr>
          <w:rFonts w:ascii="黑体" w:eastAsia="黑体" w:cs="黑体"/>
          <w:sz w:val="32"/>
          <w:szCs w:val="32"/>
        </w:rPr>
        <w:t>条</w:t>
      </w:r>
      <w:r>
        <w:rPr>
          <w:rFonts w:ascii="仿宋_GB2312" w:eastAsia="仿宋_GB2312" w:cs="仿宋_GB2312"/>
          <w:sz w:val="32"/>
          <w:szCs w:val="32"/>
        </w:rPr>
        <w:t>　新闻出版等部门应当支持红色资源理论研究成果、红色主题出版物的出版发行。</w:t>
      </w:r>
    </w:p>
    <w:p>
      <w:pPr>
        <w:widowControl w:val="0"/>
        <w:tabs>
          <w:tab w:val="left" w:pos="6720"/>
        </w:tabs>
        <w:wordWrap/>
        <w:overflowPunct w:val="0"/>
        <w:spacing w:line="600" w:lineRule="exact"/>
        <w:ind w:left="0" w:leftChars="0" w:right="0" w:firstLine="640" w:firstLineChars="200"/>
        <w:jc w:val="both"/>
        <w:textAlignment w:val="auto"/>
        <w:outlineLvl w:val="9"/>
        <w:rPr>
          <w:sz w:val="32"/>
          <w:szCs w:val="32"/>
        </w:rPr>
      </w:pPr>
      <w:r>
        <w:rPr>
          <w:rFonts w:ascii="仿宋_GB2312" w:eastAsia="仿宋_GB2312" w:cs="仿宋_GB2312"/>
          <w:sz w:val="32"/>
          <w:szCs w:val="32"/>
        </w:rPr>
        <w:t>广播、电视、报刊、网站等媒体应当坚持正确舆论导向，通过新闻报道、开设专栏、发布公益广告等方式传承利用红色资源，并创新传播方式，拓展新媒体传播渠道。</w:t>
      </w:r>
    </w:p>
    <w:p>
      <w:pPr>
        <w:widowControl w:val="0"/>
        <w:tabs>
          <w:tab w:val="left" w:pos="6720"/>
        </w:tabs>
        <w:wordWrap/>
        <w:overflowPunct w:val="0"/>
        <w:spacing w:line="600" w:lineRule="exact"/>
        <w:ind w:left="0" w:leftChars="0" w:right="0" w:firstLine="640" w:firstLineChars="200"/>
        <w:jc w:val="both"/>
        <w:textAlignment w:val="auto"/>
        <w:outlineLvl w:val="9"/>
        <w:rPr>
          <w:sz w:val="32"/>
          <w:szCs w:val="32"/>
        </w:rPr>
      </w:pPr>
      <w:r>
        <w:rPr>
          <w:rFonts w:ascii="仿宋_GB2312" w:eastAsia="仿宋_GB2312" w:cs="仿宋_GB2312"/>
          <w:sz w:val="32"/>
          <w:szCs w:val="32"/>
        </w:rPr>
        <w:t>鼓励出版单位开展红色资源理论研究成果、红色主题出版物的出版策划和宣传推广，开发融媒体出版物，组织红色主题阅读活动。</w:t>
      </w:r>
    </w:p>
    <w:p>
      <w:pPr>
        <w:widowControl w:val="0"/>
        <w:tabs>
          <w:tab w:val="left" w:pos="6720"/>
        </w:tabs>
        <w:wordWrap/>
        <w:overflowPunct w:val="0"/>
        <w:spacing w:line="600" w:lineRule="exact"/>
        <w:ind w:left="0" w:leftChars="0" w:right="0" w:firstLine="640" w:firstLineChars="200"/>
        <w:jc w:val="both"/>
        <w:textAlignment w:val="auto"/>
        <w:outlineLvl w:val="9"/>
        <w:rPr>
          <w:rFonts w:ascii="仿宋_GB2312" w:eastAsia="仿宋_GB2312" w:cs="仿宋_GB2312"/>
          <w:sz w:val="32"/>
          <w:szCs w:val="32"/>
        </w:rPr>
      </w:pPr>
      <w:r>
        <w:rPr>
          <w:rFonts w:ascii="黑体" w:eastAsia="黑体" w:cs="黑体"/>
          <w:sz w:val="32"/>
          <w:szCs w:val="32"/>
        </w:rPr>
        <w:t>第</w:t>
      </w:r>
      <w:r>
        <w:rPr>
          <w:rFonts w:hint="eastAsia" w:ascii="黑体" w:eastAsia="黑体" w:cs="黑体"/>
          <w:sz w:val="32"/>
          <w:szCs w:val="32"/>
          <w:lang w:eastAsia="zh-CN"/>
        </w:rPr>
        <w:t>二十七</w:t>
      </w:r>
      <w:r>
        <w:rPr>
          <w:rFonts w:ascii="黑体" w:eastAsia="黑体" w:cs="黑体"/>
          <w:sz w:val="32"/>
          <w:szCs w:val="32"/>
        </w:rPr>
        <w:t>条</w:t>
      </w:r>
      <w:r>
        <w:rPr>
          <w:rFonts w:ascii="仿宋_GB2312" w:eastAsia="仿宋_GB2312" w:cs="仿宋_GB2312"/>
          <w:sz w:val="32"/>
          <w:szCs w:val="32"/>
        </w:rPr>
        <w:t>　教育部门应当将红色资源传承融入思想</w:t>
      </w:r>
      <w:r>
        <w:rPr>
          <w:rFonts w:hint="eastAsia" w:ascii="仿宋_GB2312" w:eastAsia="仿宋_GB2312" w:cs="仿宋_GB2312"/>
          <w:sz w:val="32"/>
          <w:szCs w:val="32"/>
          <w:lang w:eastAsia="zh-CN"/>
        </w:rPr>
        <w:t>政治教育</w:t>
      </w:r>
      <w:r>
        <w:rPr>
          <w:rFonts w:ascii="仿宋_GB2312" w:eastAsia="仿宋_GB2312" w:cs="仿宋_GB2312"/>
          <w:sz w:val="32"/>
          <w:szCs w:val="32"/>
        </w:rPr>
        <w:t>、文化知识、社会实践等教育教学内容。学校应当将红色资源传承纳入日常教学活动，通过组织</w:t>
      </w:r>
      <w:r>
        <w:rPr>
          <w:rFonts w:hint="eastAsia" w:ascii="仿宋_GB2312" w:eastAsia="仿宋_GB2312" w:cs="仿宋_GB2312"/>
          <w:sz w:val="32"/>
          <w:szCs w:val="32"/>
          <w:lang w:eastAsia="zh-CN"/>
        </w:rPr>
        <w:t>师</w:t>
      </w:r>
      <w:r>
        <w:rPr>
          <w:rFonts w:ascii="仿宋_GB2312" w:eastAsia="仿宋_GB2312" w:cs="仿宋_GB2312"/>
          <w:sz w:val="32"/>
          <w:szCs w:val="32"/>
        </w:rPr>
        <w:t>生参观红色遗址、旧址、纪念设施或者场所等方式，开展</w:t>
      </w:r>
      <w:r>
        <w:rPr>
          <w:rFonts w:hint="eastAsia" w:ascii="仿宋_GB2312" w:eastAsia="仿宋_GB2312" w:cs="仿宋_GB2312"/>
          <w:sz w:val="32"/>
          <w:szCs w:val="32"/>
          <w:lang w:eastAsia="zh-CN"/>
        </w:rPr>
        <w:t>革命传统教育、</w:t>
      </w:r>
      <w:r>
        <w:rPr>
          <w:rFonts w:ascii="仿宋_GB2312" w:eastAsia="仿宋_GB2312" w:cs="仿宋_GB2312"/>
          <w:sz w:val="32"/>
          <w:szCs w:val="32"/>
        </w:rPr>
        <w:t>爱国主义</w:t>
      </w:r>
      <w:r>
        <w:rPr>
          <w:rFonts w:hint="eastAsia" w:ascii="仿宋_GB2312" w:eastAsia="仿宋_GB2312" w:cs="仿宋_GB2312"/>
          <w:sz w:val="32"/>
          <w:szCs w:val="32"/>
          <w:lang w:eastAsia="zh-CN"/>
        </w:rPr>
        <w:t>教育</w:t>
      </w:r>
      <w:r>
        <w:rPr>
          <w:rFonts w:ascii="仿宋_GB2312" w:eastAsia="仿宋_GB2312" w:cs="仿宋_GB2312"/>
          <w:sz w:val="32"/>
          <w:szCs w:val="32"/>
        </w:rPr>
        <w:t>、</w:t>
      </w:r>
      <w:r>
        <w:rPr>
          <w:rFonts w:hint="eastAsia" w:ascii="仿宋_GB2312" w:eastAsia="仿宋_GB2312" w:cs="仿宋_GB2312"/>
          <w:sz w:val="32"/>
          <w:szCs w:val="32"/>
          <w:lang w:eastAsia="zh-CN"/>
        </w:rPr>
        <w:t>思想道德</w:t>
      </w:r>
      <w:r>
        <w:rPr>
          <w:rFonts w:ascii="仿宋_GB2312" w:eastAsia="仿宋_GB2312" w:cs="仿宋_GB2312"/>
          <w:sz w:val="32"/>
          <w:szCs w:val="32"/>
        </w:rPr>
        <w:t>教育。</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仿宋_GB2312" w:eastAsia="仿宋_GB2312" w:cs="仿宋_GB2312"/>
          <w:sz w:val="32"/>
          <w:szCs w:val="32"/>
        </w:rPr>
      </w:pPr>
      <w:r>
        <w:rPr>
          <w:rFonts w:hint="eastAsia" w:ascii="黑体" w:eastAsia="黑体" w:cs="黑体"/>
          <w:sz w:val="32"/>
          <w:szCs w:val="32"/>
        </w:rPr>
        <w:t>第</w:t>
      </w:r>
      <w:r>
        <w:rPr>
          <w:rFonts w:hint="eastAsia" w:ascii="黑体" w:eastAsia="黑体" w:cs="黑体"/>
          <w:sz w:val="32"/>
          <w:szCs w:val="32"/>
          <w:lang w:eastAsia="zh-CN"/>
        </w:rPr>
        <w:t>二十八</w:t>
      </w:r>
      <w:r>
        <w:rPr>
          <w:rFonts w:hint="eastAsia" w:ascii="黑体" w:eastAsia="黑体" w:cs="黑体"/>
          <w:sz w:val="32"/>
          <w:szCs w:val="32"/>
        </w:rPr>
        <w:t>条</w:t>
      </w:r>
      <w:r>
        <w:rPr>
          <w:rFonts w:hint="eastAsia"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党校（行政学院）、干部学院</w:t>
      </w:r>
      <w:r>
        <w:rPr>
          <w:rFonts w:hint="eastAsia" w:ascii="仿宋_GB2312" w:eastAsia="仿宋_GB2312" w:cs="仿宋_GB2312"/>
          <w:sz w:val="32"/>
          <w:szCs w:val="32"/>
          <w:lang w:eastAsia="zh-CN"/>
        </w:rPr>
        <w:t>、社会主义学院</w:t>
      </w:r>
      <w:r>
        <w:rPr>
          <w:rFonts w:hint="eastAsia" w:ascii="仿宋_GB2312" w:eastAsia="仿宋_GB2312" w:cs="仿宋_GB2312"/>
          <w:sz w:val="32"/>
          <w:szCs w:val="32"/>
        </w:rPr>
        <w:t>等干部教育培训机构应当依托红色资源设置教学课程，开展现场教学。</w:t>
      </w:r>
    </w:p>
    <w:p>
      <w:pPr>
        <w:widowControl w:val="0"/>
        <w:tabs>
          <w:tab w:val="left" w:pos="6720"/>
        </w:tabs>
        <w:wordWrap/>
        <w:overflowPunct w:val="0"/>
        <w:adjustRightInd/>
        <w:snapToGrid/>
        <w:spacing w:line="600" w:lineRule="exact"/>
        <w:ind w:left="0" w:leftChars="0" w:right="0" w:firstLine="640" w:firstLineChars="200"/>
        <w:jc w:val="both"/>
        <w:textAlignment w:val="auto"/>
        <w:outlineLvl w:val="9"/>
        <w:rPr>
          <w:rFonts w:hint="eastAsia" w:ascii="仿宋_GB2312" w:eastAsia="仿宋_GB2312" w:cs="仿宋_GB2312"/>
          <w:color w:val="000000"/>
          <w:sz w:val="32"/>
          <w:szCs w:val="32"/>
          <w:lang w:val="zh-CN"/>
        </w:rPr>
      </w:pPr>
      <w:r>
        <w:rPr>
          <w:rFonts w:ascii="黑体" w:eastAsia="黑体" w:cs="黑体"/>
          <w:sz w:val="32"/>
          <w:szCs w:val="32"/>
        </w:rPr>
        <w:t>第</w:t>
      </w:r>
      <w:r>
        <w:rPr>
          <w:rFonts w:hint="eastAsia" w:ascii="黑体" w:eastAsia="黑体" w:cs="黑体"/>
          <w:sz w:val="32"/>
          <w:szCs w:val="32"/>
          <w:lang w:eastAsia="zh-CN"/>
        </w:rPr>
        <w:t>二十九</w:t>
      </w:r>
      <w:r>
        <w:rPr>
          <w:rFonts w:ascii="黑体" w:eastAsia="黑体" w:cs="黑体"/>
          <w:sz w:val="32"/>
          <w:szCs w:val="32"/>
        </w:rPr>
        <w:t>条</w:t>
      </w:r>
      <w:r>
        <w:rPr>
          <w:rFonts w:ascii="仿宋_GB2312" w:eastAsia="仿宋_GB2312" w:cs="仿宋_GB2312"/>
          <w:sz w:val="32"/>
          <w:szCs w:val="32"/>
        </w:rPr>
        <w:t>　县级以上人民政府应当因地制宜发展红色旅游，</w:t>
      </w:r>
      <w:r>
        <w:rPr>
          <w:rFonts w:hint="eastAsia" w:ascii="仿宋_GB2312" w:eastAsia="仿宋_GB2312" w:cs="仿宋_GB2312"/>
          <w:color w:val="000000"/>
          <w:sz w:val="32"/>
          <w:szCs w:val="32"/>
          <w:lang w:val="zh-CN"/>
        </w:rPr>
        <w:t>开发红色旅游线路、经典景区，培育红色旅游品牌，深化红色旅游区域合作，提升红色旅游与都市旅游、乡村旅游、研学旅游、科技旅游、森林康养旅游、民族文化旅游等业态融合发展。</w:t>
      </w:r>
    </w:p>
    <w:p>
      <w:pPr>
        <w:pStyle w:val="2"/>
        <w:widowControl w:val="0"/>
        <w:tabs>
          <w:tab w:val="left" w:pos="6720"/>
        </w:tabs>
        <w:wordWrap/>
        <w:overflowPunct w:val="0"/>
        <w:adjustRightInd/>
        <w:snapToGrid/>
        <w:spacing w:line="600" w:lineRule="exact"/>
        <w:ind w:left="0" w:leftChars="0" w:right="0" w:firstLine="640" w:firstLineChars="200"/>
        <w:textAlignment w:val="auto"/>
        <w:outlineLvl w:val="9"/>
        <w:rPr>
          <w:rFonts w:hint="eastAsia" w:ascii="仿宋_GB2312" w:eastAsia="仿宋_GB2312" w:cs="仿宋_GB2312"/>
          <w:color w:val="000000"/>
          <w:sz w:val="32"/>
          <w:szCs w:val="32"/>
          <w:lang w:val="zh-CN"/>
        </w:rPr>
      </w:pPr>
      <w:r>
        <w:rPr>
          <w:rFonts w:hint="eastAsia" w:ascii="仿宋_GB2312" w:eastAsia="仿宋_GB2312" w:cs="仿宋_GB2312"/>
          <w:color w:val="000000"/>
          <w:sz w:val="32"/>
          <w:szCs w:val="32"/>
          <w:lang w:val="zh-CN"/>
        </w:rPr>
        <w:t>宣传、党史、文化和旅游（文物）部门应当加强讲解员、导游的培养培训，规范讲解活动，促进红色资源传承弘扬和文化旅游的融合发展，助力乡村振兴。</w:t>
      </w:r>
    </w:p>
    <w:p>
      <w:pPr>
        <w:pStyle w:val="2"/>
        <w:widowControl w:val="0"/>
        <w:tabs>
          <w:tab w:val="left" w:pos="6720"/>
        </w:tabs>
        <w:wordWrap/>
        <w:overflowPunct w:val="0"/>
        <w:adjustRightInd/>
        <w:snapToGrid/>
        <w:spacing w:line="600" w:lineRule="exact"/>
        <w:ind w:left="0" w:leftChars="0" w:right="0" w:firstLine="640" w:firstLineChars="200"/>
        <w:textAlignment w:val="auto"/>
        <w:outlineLvl w:val="9"/>
        <w:rPr>
          <w:rFonts w:hint="eastAsia"/>
          <w:sz w:val="32"/>
          <w:szCs w:val="32"/>
        </w:rPr>
      </w:pPr>
      <w:r>
        <w:rPr>
          <w:rFonts w:hint="eastAsia" w:ascii="仿宋_GB2312" w:eastAsia="仿宋_GB2312" w:cs="仿宋_GB2312"/>
          <w:color w:val="000000"/>
          <w:sz w:val="32"/>
          <w:szCs w:val="32"/>
          <w:lang w:val="zh-CN"/>
        </w:rPr>
        <w:t>鼓励、支持单位和个人参与红色旅游开发，合理利用红色资源，提升红色旅游内涵和影响力。</w:t>
      </w:r>
    </w:p>
    <w:p>
      <w:pPr>
        <w:widowControl w:val="0"/>
        <w:tabs>
          <w:tab w:val="left" w:pos="6720"/>
        </w:tabs>
        <w:wordWrap/>
        <w:overflowPunct w:val="0"/>
        <w:spacing w:line="600" w:lineRule="exact"/>
        <w:ind w:left="0" w:leftChars="0" w:right="0" w:firstLine="640" w:firstLineChars="200"/>
        <w:jc w:val="both"/>
        <w:textAlignment w:val="auto"/>
        <w:outlineLvl w:val="9"/>
        <w:rPr>
          <w:sz w:val="32"/>
          <w:szCs w:val="32"/>
        </w:rPr>
      </w:pPr>
      <w:r>
        <w:rPr>
          <w:rFonts w:ascii="黑体" w:eastAsia="黑体" w:cs="黑体"/>
          <w:sz w:val="32"/>
          <w:szCs w:val="32"/>
        </w:rPr>
        <w:t>第</w:t>
      </w:r>
      <w:r>
        <w:rPr>
          <w:rFonts w:hint="eastAsia" w:ascii="黑体" w:eastAsia="黑体" w:cs="黑体"/>
          <w:sz w:val="32"/>
          <w:szCs w:val="32"/>
          <w:lang w:eastAsia="zh-CN"/>
        </w:rPr>
        <w:t>三十</w:t>
      </w:r>
      <w:r>
        <w:rPr>
          <w:rFonts w:ascii="黑体" w:eastAsia="黑体" w:cs="黑体"/>
          <w:sz w:val="32"/>
          <w:szCs w:val="32"/>
        </w:rPr>
        <w:t>条</w:t>
      </w:r>
      <w:r>
        <w:rPr>
          <w:rFonts w:ascii="仿宋_GB2312" w:eastAsia="仿宋_GB2312" w:cs="仿宋_GB2312"/>
          <w:sz w:val="32"/>
          <w:szCs w:val="32"/>
        </w:rPr>
        <w:t>　文化和旅游</w:t>
      </w:r>
      <w:r>
        <w:rPr>
          <w:rFonts w:hint="eastAsia" w:ascii="仿宋_GB2312" w:eastAsia="仿宋_GB2312" w:cs="仿宋_GB2312"/>
          <w:sz w:val="32"/>
          <w:szCs w:val="32"/>
          <w:lang w:eastAsia="zh-CN"/>
        </w:rPr>
        <w:t>（文物）</w:t>
      </w:r>
      <w:r>
        <w:rPr>
          <w:rFonts w:ascii="仿宋_GB2312" w:eastAsia="仿宋_GB2312" w:cs="仿宋_GB2312"/>
          <w:sz w:val="32"/>
          <w:szCs w:val="32"/>
        </w:rPr>
        <w:t>、新闻出版、教育</w:t>
      </w:r>
      <w:r>
        <w:rPr>
          <w:rFonts w:hint="eastAsia" w:ascii="仿宋_GB2312" w:eastAsia="仿宋_GB2312" w:cs="仿宋_GB2312"/>
          <w:sz w:val="32"/>
          <w:szCs w:val="32"/>
          <w:lang w:eastAsia="zh-CN"/>
        </w:rPr>
        <w:t>、文联</w:t>
      </w:r>
      <w:r>
        <w:rPr>
          <w:rFonts w:ascii="仿宋_GB2312" w:eastAsia="仿宋_GB2312" w:cs="仿宋_GB2312"/>
          <w:sz w:val="32"/>
          <w:szCs w:val="32"/>
        </w:rPr>
        <w:t>等应当支持红色主题文艺作品的创作和传播，通过文艺精品创作扶持等机制，加大扶持力度。</w:t>
      </w:r>
    </w:p>
    <w:p>
      <w:pPr>
        <w:widowControl w:val="0"/>
        <w:tabs>
          <w:tab w:val="left" w:pos="6720"/>
        </w:tabs>
        <w:wordWrap/>
        <w:overflowPunct w:val="0"/>
        <w:spacing w:line="600" w:lineRule="exact"/>
        <w:ind w:left="0" w:leftChars="0" w:right="0" w:firstLine="640" w:firstLineChars="200"/>
        <w:jc w:val="both"/>
        <w:textAlignment w:val="auto"/>
        <w:outlineLvl w:val="9"/>
        <w:rPr>
          <w:sz w:val="32"/>
          <w:szCs w:val="32"/>
        </w:rPr>
      </w:pPr>
      <w:r>
        <w:rPr>
          <w:rFonts w:ascii="仿宋_GB2312" w:eastAsia="仿宋_GB2312" w:cs="仿宋_GB2312"/>
          <w:sz w:val="32"/>
          <w:szCs w:val="32"/>
        </w:rPr>
        <w:t>鼓励文艺表演团体、文艺工作者、</w:t>
      </w:r>
      <w:r>
        <w:rPr>
          <w:rFonts w:hint="eastAsia" w:ascii="仿宋_GB2312" w:eastAsia="仿宋_GB2312" w:cs="仿宋_GB2312"/>
          <w:sz w:val="32"/>
          <w:szCs w:val="32"/>
          <w:lang w:eastAsia="zh-CN"/>
        </w:rPr>
        <w:t>演出经纪机构、</w:t>
      </w:r>
      <w:r>
        <w:rPr>
          <w:rFonts w:ascii="仿宋_GB2312" w:eastAsia="仿宋_GB2312" w:cs="仿宋_GB2312"/>
          <w:sz w:val="32"/>
          <w:szCs w:val="32"/>
        </w:rPr>
        <w:t>演出场所经营单位等开展红色主题文艺作品创作、</w:t>
      </w:r>
      <w:r>
        <w:rPr>
          <w:rFonts w:hint="eastAsia" w:ascii="仿宋_GB2312" w:eastAsia="仿宋_GB2312" w:cs="仿宋_GB2312"/>
          <w:sz w:val="32"/>
          <w:szCs w:val="32"/>
          <w:lang w:eastAsia="zh-CN"/>
        </w:rPr>
        <w:t>商</w:t>
      </w:r>
      <w:r>
        <w:rPr>
          <w:rFonts w:ascii="仿宋_GB2312" w:eastAsia="仿宋_GB2312" w:cs="仿宋_GB2312"/>
          <w:sz w:val="32"/>
          <w:szCs w:val="32"/>
        </w:rPr>
        <w:t>演展映等活动。</w:t>
      </w:r>
    </w:p>
    <w:p>
      <w:pPr>
        <w:widowControl w:val="0"/>
        <w:tabs>
          <w:tab w:val="left" w:pos="6720"/>
        </w:tabs>
        <w:wordWrap/>
        <w:overflowPunct w:val="0"/>
        <w:spacing w:line="600" w:lineRule="exact"/>
        <w:ind w:left="0" w:leftChars="0" w:right="0" w:firstLine="640" w:firstLineChars="200"/>
        <w:jc w:val="both"/>
        <w:textAlignment w:val="auto"/>
        <w:outlineLvl w:val="9"/>
        <w:rPr>
          <w:sz w:val="32"/>
          <w:szCs w:val="32"/>
        </w:rPr>
      </w:pPr>
      <w:r>
        <w:rPr>
          <w:rFonts w:ascii="仿宋_GB2312" w:eastAsia="仿宋_GB2312" w:cs="仿宋_GB2312"/>
          <w:sz w:val="32"/>
          <w:szCs w:val="32"/>
        </w:rPr>
        <w:t>鼓励在本省首发、首演、首映、首展优秀红色主题文艺作品。</w:t>
      </w:r>
    </w:p>
    <w:p>
      <w:pPr>
        <w:widowControl w:val="0"/>
        <w:tabs>
          <w:tab w:val="left" w:pos="6720"/>
        </w:tabs>
        <w:wordWrap/>
        <w:overflowPunct w:val="0"/>
        <w:spacing w:line="600" w:lineRule="exact"/>
        <w:ind w:left="0" w:leftChars="0" w:right="0" w:firstLine="640" w:firstLineChars="200"/>
        <w:jc w:val="both"/>
        <w:textAlignment w:val="auto"/>
        <w:outlineLvl w:val="9"/>
        <w:rPr>
          <w:rFonts w:ascii="仿宋_GB2312" w:eastAsia="仿宋_GB2312" w:cs="仿宋_GB2312"/>
          <w:sz w:val="32"/>
          <w:szCs w:val="32"/>
        </w:rPr>
      </w:pPr>
      <w:r>
        <w:rPr>
          <w:rFonts w:ascii="仿宋_GB2312" w:eastAsia="仿宋_GB2312" w:cs="仿宋_GB2312"/>
          <w:sz w:val="32"/>
          <w:szCs w:val="32"/>
        </w:rPr>
        <w:t>红色资源的主题创作、传播交流、展览展示、影视拍摄等，应当防止过度商业化、娱乐化，</w:t>
      </w:r>
      <w:r>
        <w:rPr>
          <w:rFonts w:hint="eastAsia" w:ascii="仿宋_GB2312" w:eastAsia="仿宋_GB2312" w:cs="仿宋_GB2312"/>
          <w:sz w:val="32"/>
          <w:szCs w:val="32"/>
          <w:lang w:eastAsia="zh-CN"/>
        </w:rPr>
        <w:t>反对历史虚无主义，</w:t>
      </w:r>
      <w:r>
        <w:rPr>
          <w:rFonts w:ascii="仿宋_GB2312" w:eastAsia="仿宋_GB2312" w:cs="仿宋_GB2312"/>
          <w:sz w:val="32"/>
          <w:szCs w:val="32"/>
        </w:rPr>
        <w:t>杜绝低俗化。</w:t>
      </w:r>
    </w:p>
    <w:p>
      <w:pPr>
        <w:pStyle w:val="2"/>
        <w:widowControl w:val="0"/>
        <w:tabs>
          <w:tab w:val="left" w:pos="6720"/>
        </w:tabs>
        <w:wordWrap/>
        <w:overflowPunct w:val="0"/>
        <w:adjustRightInd/>
        <w:snapToGrid/>
        <w:spacing w:line="600" w:lineRule="exact"/>
        <w:ind w:left="0" w:leftChars="0" w:right="0" w:firstLine="640" w:firstLineChars="200"/>
        <w:textAlignment w:val="auto"/>
        <w:outlineLvl w:val="9"/>
        <w:rPr>
          <w:rFonts w:hint="eastAsia" w:eastAsia="仿宋_GB2312"/>
          <w:sz w:val="32"/>
          <w:szCs w:val="32"/>
          <w:lang w:eastAsia="zh-CN"/>
        </w:rPr>
      </w:pPr>
      <w:r>
        <w:rPr>
          <w:rFonts w:hint="eastAsia" w:ascii="仿宋_GB2312" w:eastAsia="仿宋_GB2312" w:cs="仿宋_GB2312"/>
          <w:sz w:val="32"/>
          <w:szCs w:val="32"/>
          <w:lang w:eastAsia="zh-CN"/>
        </w:rPr>
        <w:t>　　建立红色资源风险排查机制，对举办与红色资源相关的重要活动、重要信息、文艺作品等，由主办方进行风险评估。</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仿宋_GB2312" w:eastAsia="仿宋_GB2312" w:cs="仿宋_GB2312"/>
          <w:sz w:val="32"/>
          <w:szCs w:val="32"/>
        </w:rPr>
      </w:pPr>
      <w:r>
        <w:rPr>
          <w:rFonts w:hint="eastAsia" w:ascii="黑体" w:eastAsia="黑体" w:cs="黑体"/>
          <w:sz w:val="32"/>
          <w:szCs w:val="32"/>
        </w:rPr>
        <w:t>第三十</w:t>
      </w:r>
      <w:r>
        <w:rPr>
          <w:rFonts w:hint="eastAsia" w:ascii="黑体" w:eastAsia="黑体" w:cs="黑体"/>
          <w:sz w:val="32"/>
          <w:szCs w:val="32"/>
          <w:lang w:eastAsia="zh-CN"/>
        </w:rPr>
        <w:t>一</w:t>
      </w:r>
      <w:r>
        <w:rPr>
          <w:rFonts w:hint="eastAsia" w:ascii="黑体" w:eastAsia="黑体" w:cs="黑体"/>
          <w:sz w:val="32"/>
          <w:szCs w:val="32"/>
        </w:rPr>
        <w:t>条</w:t>
      </w:r>
      <w:r>
        <w:rPr>
          <w:rFonts w:hint="eastAsia"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红色资源主题展览应当以史实为基础，坚持政治性、思想性、艺术性相统一，做到主题突出、导向鲜明、内涵丰富。</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仿宋_GB2312" w:eastAsia="仿宋_GB2312" w:cs="仿宋_GB2312"/>
          <w:sz w:val="32"/>
          <w:szCs w:val="32"/>
        </w:rPr>
      </w:pPr>
      <w:r>
        <w:rPr>
          <w:rFonts w:ascii="仿宋_GB2312" w:eastAsia="仿宋_GB2312" w:cs="仿宋_GB2312"/>
          <w:sz w:val="32"/>
          <w:szCs w:val="32"/>
        </w:rPr>
        <w:t>红色资源传承利用应当注重运用现代技术手段，开展体验式、沉浸式等多种形式的展览展示；注重发挥新兴媒体优势，利用网络传播平台，开展网上红色主题宣传教育。</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展览内容和解说词应当准确、完整、权威，按照国家有关规定履行报批或者备案手续。</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仿宋_GB2312" w:eastAsia="仿宋_GB2312" w:cs="仿宋_GB2312"/>
          <w:sz w:val="32"/>
          <w:szCs w:val="32"/>
        </w:rPr>
      </w:pPr>
      <w:r>
        <w:rPr>
          <w:rFonts w:hint="eastAsia" w:ascii="黑体" w:eastAsia="黑体" w:cs="黑体"/>
          <w:sz w:val="32"/>
          <w:szCs w:val="32"/>
        </w:rPr>
        <w:t>第三十</w:t>
      </w:r>
      <w:r>
        <w:rPr>
          <w:rFonts w:hint="eastAsia" w:ascii="黑体" w:eastAsia="黑体" w:cs="黑体"/>
          <w:sz w:val="32"/>
          <w:szCs w:val="32"/>
          <w:lang w:eastAsia="zh-CN"/>
        </w:rPr>
        <w:t>二</w:t>
      </w:r>
      <w:r>
        <w:rPr>
          <w:rFonts w:hint="eastAsia" w:ascii="黑体" w:eastAsia="黑体" w:cs="黑体"/>
          <w:sz w:val="32"/>
          <w:szCs w:val="32"/>
        </w:rPr>
        <w:t>条</w:t>
      </w:r>
      <w:r>
        <w:rPr>
          <w:rFonts w:hint="eastAsia" w:ascii="黑体" w:eastAsia="黑体" w:cs="黑体"/>
          <w:sz w:val="32"/>
          <w:szCs w:val="32"/>
          <w:lang w:val="en-US" w:eastAsia="zh-CN"/>
        </w:rPr>
        <w:t xml:space="preserve">  </w:t>
      </w:r>
      <w:r>
        <w:rPr>
          <w:rFonts w:hint="eastAsia" w:ascii="仿宋_GB2312" w:eastAsia="仿宋_GB2312" w:cs="仿宋_GB2312"/>
          <w:sz w:val="32"/>
          <w:szCs w:val="32"/>
        </w:rPr>
        <w:t>具备开放条件的不可移动红色资源按照有关规定免费向公众开放，或者对未成年人、学生、教师、老年人、残疾人和军人等特殊群体实行免费或者其他优惠。</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鼓励档案馆、博物馆、美术馆、图书馆以及其他组织和个人将其所有或者保管的红色资源向社会开放</w:t>
      </w:r>
      <w:r>
        <w:rPr>
          <w:rFonts w:hint="eastAsia" w:ascii="仿宋_GB2312" w:eastAsia="仿宋_GB2312" w:cs="仿宋_GB2312"/>
          <w:sz w:val="32"/>
          <w:szCs w:val="32"/>
          <w:lang w:eastAsia="zh-CN"/>
        </w:rPr>
        <w:t>或者公布</w:t>
      </w:r>
      <w:r>
        <w:rPr>
          <w:rFonts w:hint="eastAsia" w:ascii="仿宋_GB2312" w:eastAsia="仿宋_GB2312" w:cs="仿宋_GB2312"/>
          <w:sz w:val="32"/>
          <w:szCs w:val="32"/>
        </w:rPr>
        <w:t>。</w:t>
      </w:r>
    </w:p>
    <w:p>
      <w:pPr>
        <w:pStyle w:val="2"/>
        <w:widowControl w:val="0"/>
        <w:tabs>
          <w:tab w:val="left" w:pos="6720"/>
        </w:tabs>
        <w:wordWrap/>
        <w:overflowPunct w:val="0"/>
        <w:adjustRightInd/>
        <w:snapToGrid/>
        <w:spacing w:line="600" w:lineRule="exact"/>
        <w:ind w:left="0" w:leftChars="0" w:right="0" w:firstLine="640" w:firstLineChars="200"/>
        <w:textAlignment w:val="auto"/>
        <w:outlineLvl w:val="9"/>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鼓励党史馆、档案馆、博物馆、方志馆、纪念馆、美术馆、图书馆以及其他红色资源收藏单位加强馆际交流，通过组建合作联盟、开展巡展联展等方式，促进协作共享。</w:t>
      </w:r>
    </w:p>
    <w:p>
      <w:pPr>
        <w:widowControl w:val="0"/>
        <w:pBdr>
          <w:top w:val="none" w:color="auto" w:sz="0" w:space="0"/>
          <w:left w:val="none" w:color="auto" w:sz="0" w:space="0"/>
          <w:bottom w:val="none" w:color="auto" w:sz="0" w:space="0"/>
          <w:right w:val="none" w:color="auto" w:sz="0" w:space="0"/>
        </w:pBdr>
        <w:tabs>
          <w:tab w:val="left" w:pos="6720"/>
        </w:tabs>
        <w:wordWrap/>
        <w:overflowPunct w:val="0"/>
        <w:spacing w:beforeAutospacing="0" w:afterAutospacing="0" w:line="600" w:lineRule="exact"/>
        <w:ind w:left="0" w:leftChars="0" w:right="0" w:firstLine="640" w:firstLineChars="200"/>
        <w:jc w:val="both"/>
        <w:textAlignment w:val="auto"/>
        <w:outlineLvl w:val="9"/>
        <w:rPr>
          <w:rFonts w:hint="eastAsia" w:ascii="仿宋_GB2312" w:hAnsi="Times New Roman" w:eastAsia="仿宋_GB2312" w:cs="仿宋_GB2312"/>
          <w:kern w:val="2"/>
          <w:sz w:val="32"/>
          <w:szCs w:val="32"/>
          <w:lang w:val="en-US" w:eastAsia="zh-CN" w:bidi="ar-SA"/>
        </w:rPr>
      </w:pPr>
      <w:r>
        <w:rPr>
          <w:rFonts w:hint="eastAsia" w:ascii="黑体" w:eastAsia="黑体" w:cs="黑体"/>
          <w:sz w:val="32"/>
          <w:szCs w:val="32"/>
        </w:rPr>
        <w:t>第三十</w:t>
      </w:r>
      <w:r>
        <w:rPr>
          <w:rFonts w:hint="eastAsia" w:ascii="黑体" w:eastAsia="黑体" w:cs="黑体"/>
          <w:sz w:val="32"/>
          <w:szCs w:val="32"/>
          <w:lang w:eastAsia="zh-CN"/>
        </w:rPr>
        <w:t>三</w:t>
      </w:r>
      <w:r>
        <w:rPr>
          <w:rFonts w:hint="eastAsia" w:ascii="黑体" w:eastAsia="黑体" w:cs="黑体"/>
          <w:sz w:val="32"/>
          <w:szCs w:val="32"/>
        </w:rPr>
        <w:t>条</w:t>
      </w:r>
      <w:r>
        <w:rPr>
          <w:rFonts w:hint="eastAsia" w:ascii="黑体" w:eastAsia="黑体" w:cs="黑体"/>
          <w:sz w:val="32"/>
          <w:szCs w:val="32"/>
          <w:lang w:val="en-US" w:eastAsia="zh-CN"/>
        </w:rPr>
        <w:t xml:space="preserve">  </w:t>
      </w:r>
      <w:r>
        <w:rPr>
          <w:rFonts w:hint="eastAsia" w:ascii="仿宋_GB2312" w:hAnsi="Times New Roman" w:eastAsia="仿宋_GB2312" w:cs="仿宋_GB2312"/>
          <w:kern w:val="2"/>
          <w:sz w:val="32"/>
          <w:szCs w:val="32"/>
          <w:lang w:val="en-US" w:eastAsia="zh-CN" w:bidi="ar-SA"/>
        </w:rPr>
        <w:t>县级以上人民政府在中国人民抗日战争胜利纪念日、烈士纪念日、南京大屠杀死难者国家公祭日和其他重要纪念日，应当组织开展纪念活动，举行敬献花篮、瞻仰纪念设施、祭扫烈士墓、公祭等纪念仪式。</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国家机关、群团组织、企业事业单位、基层群众性自治组织等根据实际，在“七一”、建军节、国庆节和国际妇女节、清明节、国际劳动节、青年节、国际儿童节等重要节庆日，组织开展纪念庆祝、参观学习、缅怀悼念、入党入团入队仪式等红色教育活动。</w:t>
      </w:r>
    </w:p>
    <w:p>
      <w:pPr>
        <w:widowControl w:val="0"/>
        <w:tabs>
          <w:tab w:val="left" w:pos="6720"/>
        </w:tabs>
        <w:wordWrap/>
        <w:overflowPunct w:val="0"/>
        <w:spacing w:line="600" w:lineRule="exact"/>
        <w:ind w:left="0" w:leftChars="0" w:right="0" w:firstLine="640" w:firstLineChars="200"/>
        <w:jc w:val="both"/>
        <w:textAlignment w:val="auto"/>
        <w:outlineLvl w:val="9"/>
        <w:rPr>
          <w:sz w:val="32"/>
          <w:szCs w:val="32"/>
        </w:rPr>
      </w:pPr>
      <w:r>
        <w:rPr>
          <w:rFonts w:ascii="黑体" w:eastAsia="黑体" w:cs="黑体"/>
          <w:sz w:val="32"/>
          <w:szCs w:val="32"/>
        </w:rPr>
        <w:t>第三十</w:t>
      </w:r>
      <w:r>
        <w:rPr>
          <w:rFonts w:hint="eastAsia" w:ascii="黑体" w:eastAsia="黑体" w:cs="黑体"/>
          <w:sz w:val="32"/>
          <w:szCs w:val="32"/>
          <w:lang w:eastAsia="zh-CN"/>
        </w:rPr>
        <w:t>四</w:t>
      </w:r>
      <w:r>
        <w:rPr>
          <w:rFonts w:ascii="黑体" w:eastAsia="黑体" w:cs="黑体"/>
          <w:sz w:val="32"/>
          <w:szCs w:val="32"/>
        </w:rPr>
        <w:t>条</w:t>
      </w:r>
      <w:r>
        <w:rPr>
          <w:rFonts w:ascii="仿宋_GB2312" w:eastAsia="仿宋_GB2312" w:cs="仿宋_GB2312"/>
          <w:sz w:val="32"/>
          <w:szCs w:val="32"/>
        </w:rPr>
        <w:t>　鼓励利用市场机制，探索版权合作等多样化合作模式，引导各类市场主体利用红色资源开发文化创意产品。</w:t>
      </w:r>
    </w:p>
    <w:p>
      <w:pPr>
        <w:widowControl w:val="0"/>
        <w:tabs>
          <w:tab w:val="left" w:pos="6720"/>
        </w:tabs>
        <w:wordWrap/>
        <w:overflowPunct w:val="0"/>
        <w:topLinePunct/>
        <w:adjustRightInd w:val="0"/>
        <w:snapToGrid w:val="0"/>
        <w:spacing w:line="600" w:lineRule="exact"/>
        <w:ind w:left="0" w:leftChars="0" w:right="0" w:firstLine="640" w:firstLineChars="200"/>
        <w:jc w:val="both"/>
        <w:textAlignment w:val="auto"/>
        <w:outlineLvl w:val="9"/>
        <w:rPr>
          <w:rFonts w:hint="eastAsia" w:ascii="仿宋_GB2312" w:eastAsia="仿宋_GB2312" w:cs="仿宋_GB2312"/>
          <w:sz w:val="32"/>
          <w:szCs w:val="32"/>
        </w:rPr>
      </w:pPr>
      <w:r>
        <w:rPr>
          <w:rFonts w:ascii="黑体" w:eastAsia="黑体" w:cs="黑体"/>
          <w:sz w:val="32"/>
          <w:szCs w:val="32"/>
        </w:rPr>
        <w:t>第三十</w:t>
      </w:r>
      <w:r>
        <w:rPr>
          <w:rFonts w:hint="eastAsia" w:ascii="黑体" w:eastAsia="黑体" w:cs="黑体"/>
          <w:sz w:val="32"/>
          <w:szCs w:val="32"/>
          <w:lang w:eastAsia="zh-CN"/>
        </w:rPr>
        <w:t>五</w:t>
      </w:r>
      <w:r>
        <w:rPr>
          <w:rFonts w:ascii="黑体" w:eastAsia="黑体" w:cs="黑体"/>
          <w:sz w:val="32"/>
          <w:szCs w:val="32"/>
        </w:rPr>
        <w:t>条</w:t>
      </w:r>
      <w:r>
        <w:rPr>
          <w:rFonts w:ascii="仿宋_GB2312" w:eastAsia="仿宋_GB2312" w:cs="仿宋_GB2312"/>
          <w:sz w:val="32"/>
          <w:szCs w:val="32"/>
        </w:rPr>
        <w:t>　</w:t>
      </w:r>
      <w:r>
        <w:rPr>
          <w:rFonts w:hint="eastAsia" w:ascii="仿宋_GB2312" w:eastAsia="仿宋_GB2312" w:cs="仿宋_GB2312"/>
          <w:sz w:val="32"/>
          <w:szCs w:val="32"/>
        </w:rPr>
        <w:t>本省将红色资源传承弘扬融入</w:t>
      </w:r>
      <w:r>
        <w:rPr>
          <w:rFonts w:hint="eastAsia" w:ascii="仿宋_GB2312" w:eastAsia="仿宋_GB2312" w:cs="仿宋_GB2312"/>
          <w:sz w:val="32"/>
          <w:szCs w:val="32"/>
          <w:lang w:eastAsia="zh-CN"/>
        </w:rPr>
        <w:t>贵州</w:t>
      </w:r>
      <w:r>
        <w:rPr>
          <w:rFonts w:hint="eastAsia" w:ascii="仿宋_GB2312" w:eastAsia="仿宋_GB2312" w:cs="仿宋_GB2312"/>
          <w:sz w:val="32"/>
          <w:szCs w:val="32"/>
        </w:rPr>
        <w:t>文化品牌，利用机场、车站、</w:t>
      </w:r>
      <w:r>
        <w:rPr>
          <w:rFonts w:hint="eastAsia" w:ascii="仿宋_GB2312" w:eastAsia="仿宋_GB2312" w:cs="仿宋_GB2312"/>
          <w:sz w:val="32"/>
          <w:szCs w:val="32"/>
          <w:lang w:eastAsia="zh-CN"/>
        </w:rPr>
        <w:t>码头</w:t>
      </w:r>
      <w:r>
        <w:rPr>
          <w:rFonts w:hint="eastAsia" w:ascii="仿宋_GB2312" w:eastAsia="仿宋_GB2312" w:cs="仿宋_GB2312"/>
          <w:sz w:val="32"/>
          <w:szCs w:val="32"/>
        </w:rPr>
        <w:t>以及行业窗口等公共空间开展红色资源宣传。</w:t>
      </w:r>
    </w:p>
    <w:p>
      <w:pPr>
        <w:widowControl w:val="0"/>
        <w:tabs>
          <w:tab w:val="left" w:pos="6720"/>
        </w:tabs>
        <w:wordWrap/>
        <w:overflowPunct w:val="0"/>
        <w:adjustRightInd/>
        <w:snapToGrid/>
        <w:spacing w:before="290" w:beforeLines="100" w:after="290" w:afterLines="100" w:line="600" w:lineRule="exact"/>
        <w:ind w:left="0" w:leftChars="0" w:right="0" w:firstLine="0" w:firstLineChars="0"/>
        <w:jc w:val="center"/>
        <w:textAlignment w:val="auto"/>
        <w:outlineLvl w:val="9"/>
        <w:rPr>
          <w:rFonts w:hint="eastAsia" w:ascii="黑体" w:hAnsi="黑体" w:eastAsia="黑体" w:cs="黑体"/>
          <w:bCs/>
          <w:color w:val="000000"/>
          <w:sz w:val="32"/>
          <w:szCs w:val="32"/>
          <w:lang w:val="zh-CN"/>
        </w:rPr>
      </w:pPr>
      <w:r>
        <w:rPr>
          <w:rFonts w:hint="eastAsia" w:ascii="黑体" w:hAnsi="黑体" w:eastAsia="黑体" w:cs="黑体"/>
          <w:bCs/>
          <w:color w:val="000000"/>
          <w:sz w:val="32"/>
          <w:szCs w:val="32"/>
          <w:lang w:val="zh-CN"/>
        </w:rPr>
        <w:t>第五章</w:t>
      </w:r>
      <w:r>
        <w:rPr>
          <w:rFonts w:hint="eastAsia" w:ascii="黑体" w:hAnsi="黑体" w:eastAsia="黑体" w:cs="黑体"/>
          <w:bCs/>
          <w:color w:val="000000"/>
          <w:sz w:val="32"/>
          <w:szCs w:val="32"/>
          <w:lang w:val="en-US" w:eastAsia="zh-CN"/>
        </w:rPr>
        <w:t xml:space="preserve">  </w:t>
      </w:r>
      <w:r>
        <w:rPr>
          <w:rFonts w:hint="eastAsia" w:ascii="黑体" w:hAnsi="黑体" w:eastAsia="黑体" w:cs="黑体"/>
          <w:bCs/>
          <w:color w:val="000000"/>
          <w:sz w:val="32"/>
          <w:szCs w:val="32"/>
          <w:lang w:val="zh-CN"/>
        </w:rPr>
        <w:t>保障措施</w:t>
      </w:r>
    </w:p>
    <w:p>
      <w:pPr>
        <w:widowControl w:val="0"/>
        <w:tabs>
          <w:tab w:val="left" w:pos="6720"/>
        </w:tabs>
        <w:wordWrap/>
        <w:overflowPunct w:val="0"/>
        <w:topLinePunct/>
        <w:adjustRightInd w:val="0"/>
        <w:snapToGrid w:val="0"/>
        <w:spacing w:line="600" w:lineRule="exact"/>
        <w:ind w:left="0" w:leftChars="0" w:right="0" w:firstLine="640" w:firstLineChars="200"/>
        <w:jc w:val="both"/>
        <w:textAlignment w:val="auto"/>
        <w:outlineLvl w:val="9"/>
        <w:rPr>
          <w:rFonts w:hint="eastAsia" w:ascii="仿宋_GB2312" w:eastAsia="仿宋_GB2312" w:cs="仿宋_GB2312"/>
          <w:sz w:val="32"/>
          <w:szCs w:val="32"/>
        </w:rPr>
      </w:pPr>
      <w:r>
        <w:rPr>
          <w:rFonts w:hint="eastAsia" w:ascii="仿宋_GB2312" w:hAnsi="仿宋_GB2312" w:eastAsia="黑体" w:cs="Times New Roman"/>
          <w:bCs/>
          <w:color w:val="000000"/>
          <w:sz w:val="32"/>
          <w:szCs w:val="32"/>
        </w:rPr>
        <w:t>第</w:t>
      </w:r>
      <w:r>
        <w:rPr>
          <w:rFonts w:hint="eastAsia" w:ascii="仿宋_GB2312" w:hAnsi="仿宋_GB2312" w:eastAsia="黑体" w:cs="Times New Roman"/>
          <w:bCs/>
          <w:color w:val="000000"/>
          <w:sz w:val="32"/>
          <w:szCs w:val="32"/>
          <w:lang w:eastAsia="zh-CN"/>
        </w:rPr>
        <w:t>三十六</w:t>
      </w:r>
      <w:r>
        <w:rPr>
          <w:rFonts w:hint="eastAsia" w:ascii="仿宋_GB2312" w:hAnsi="仿宋_GB2312" w:eastAsia="黑体" w:cs="Times New Roman"/>
          <w:bCs/>
          <w:color w:val="000000"/>
          <w:sz w:val="32"/>
          <w:szCs w:val="32"/>
        </w:rPr>
        <w:t>条</w:t>
      </w:r>
      <w:r>
        <w:rPr>
          <w:rFonts w:hint="eastAsia"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县级以上人民政府应当将红色资源</w:t>
      </w:r>
      <w:r>
        <w:rPr>
          <w:rFonts w:hint="eastAsia" w:ascii="仿宋_GB2312" w:eastAsia="仿宋_GB2312" w:cs="仿宋_GB2312"/>
          <w:sz w:val="32"/>
          <w:szCs w:val="32"/>
          <w:lang w:eastAsia="zh-CN"/>
        </w:rPr>
        <w:t>保护传承利用</w:t>
      </w:r>
      <w:r>
        <w:rPr>
          <w:rFonts w:hint="eastAsia" w:ascii="仿宋_GB2312" w:eastAsia="仿宋_GB2312" w:cs="仿宋_GB2312"/>
          <w:sz w:val="32"/>
          <w:szCs w:val="32"/>
        </w:rPr>
        <w:t>所需经费纳入本级财政预算，根据本地实际实施动态调整，保障红色资源</w:t>
      </w:r>
      <w:r>
        <w:rPr>
          <w:rFonts w:hint="eastAsia" w:ascii="仿宋_GB2312" w:eastAsia="仿宋_GB2312" w:cs="仿宋_GB2312"/>
          <w:sz w:val="32"/>
          <w:szCs w:val="32"/>
          <w:lang w:eastAsia="zh-CN"/>
        </w:rPr>
        <w:t>保护传承利用</w:t>
      </w:r>
      <w:r>
        <w:rPr>
          <w:rFonts w:hint="eastAsia" w:ascii="仿宋_GB2312" w:eastAsia="仿宋_GB2312" w:cs="仿宋_GB2312"/>
          <w:sz w:val="32"/>
          <w:szCs w:val="32"/>
        </w:rPr>
        <w:t>工作有序进行。</w:t>
      </w:r>
    </w:p>
    <w:p>
      <w:pPr>
        <w:widowControl w:val="0"/>
        <w:tabs>
          <w:tab w:val="left" w:pos="6720"/>
        </w:tabs>
        <w:wordWrap/>
        <w:overflowPunct w:val="0"/>
        <w:topLinePunct/>
        <w:adjustRightInd w:val="0"/>
        <w:snapToGrid w:val="0"/>
        <w:spacing w:line="600" w:lineRule="exact"/>
        <w:ind w:left="0" w:leftChars="0" w:right="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鼓励社会力量通过捐赠、资助等方式，参与红色资源</w:t>
      </w:r>
      <w:r>
        <w:rPr>
          <w:rFonts w:hint="eastAsia" w:ascii="仿宋_GB2312" w:eastAsia="仿宋_GB2312" w:cs="仿宋_GB2312"/>
          <w:sz w:val="32"/>
          <w:szCs w:val="32"/>
          <w:lang w:eastAsia="zh-CN"/>
        </w:rPr>
        <w:t>保护传承利用</w:t>
      </w:r>
      <w:r>
        <w:rPr>
          <w:rFonts w:hint="eastAsia" w:ascii="仿宋_GB2312" w:eastAsia="仿宋_GB2312" w:cs="仿宋_GB2312"/>
          <w:sz w:val="32"/>
          <w:szCs w:val="32"/>
        </w:rPr>
        <w:t>工作。捐赠财产用于红色资源</w:t>
      </w:r>
      <w:r>
        <w:rPr>
          <w:rFonts w:hint="eastAsia" w:ascii="仿宋_GB2312" w:eastAsia="仿宋_GB2312" w:cs="仿宋_GB2312"/>
          <w:sz w:val="32"/>
          <w:szCs w:val="32"/>
          <w:lang w:eastAsia="zh-CN"/>
        </w:rPr>
        <w:t>保护传承利用</w:t>
      </w:r>
      <w:r>
        <w:rPr>
          <w:rFonts w:hint="eastAsia" w:ascii="仿宋_GB2312" w:eastAsia="仿宋_GB2312" w:cs="仿宋_GB2312"/>
          <w:sz w:val="32"/>
          <w:szCs w:val="32"/>
        </w:rPr>
        <w:t>的，依法享受税收优惠。</w:t>
      </w:r>
    </w:p>
    <w:p>
      <w:pPr>
        <w:widowControl w:val="0"/>
        <w:tabs>
          <w:tab w:val="left" w:pos="6720"/>
        </w:tabs>
        <w:wordWrap/>
        <w:overflowPunct w:val="0"/>
        <w:topLinePunct/>
        <w:adjustRightInd w:val="0"/>
        <w:snapToGrid w:val="0"/>
        <w:spacing w:line="600" w:lineRule="exact"/>
        <w:ind w:left="0" w:leftChars="0" w:right="0" w:firstLine="640" w:firstLineChars="200"/>
        <w:jc w:val="both"/>
        <w:textAlignment w:val="auto"/>
        <w:outlineLvl w:val="9"/>
        <w:rPr>
          <w:rFonts w:hint="eastAsia" w:ascii="仿宋_GB2312" w:eastAsia="仿宋_GB2312" w:cs="仿宋_GB2312"/>
          <w:sz w:val="32"/>
          <w:szCs w:val="32"/>
        </w:rPr>
      </w:pPr>
      <w:r>
        <w:rPr>
          <w:rFonts w:hint="eastAsia" w:ascii="仿宋_GB2312" w:hAnsi="仿宋_GB2312" w:eastAsia="黑体" w:cs="Times New Roman"/>
          <w:bCs/>
          <w:color w:val="000000"/>
          <w:sz w:val="32"/>
          <w:szCs w:val="32"/>
        </w:rPr>
        <w:t>第</w:t>
      </w:r>
      <w:r>
        <w:rPr>
          <w:rFonts w:hint="eastAsia" w:ascii="仿宋_GB2312" w:hAnsi="仿宋_GB2312" w:eastAsia="黑体" w:cs="Times New Roman"/>
          <w:bCs/>
          <w:color w:val="000000"/>
          <w:sz w:val="32"/>
          <w:szCs w:val="32"/>
          <w:lang w:eastAsia="zh-CN"/>
        </w:rPr>
        <w:t>三十七</w:t>
      </w:r>
      <w:r>
        <w:rPr>
          <w:rFonts w:hint="eastAsia" w:ascii="仿宋_GB2312" w:hAnsi="仿宋_GB2312" w:eastAsia="黑体" w:cs="Times New Roman"/>
          <w:bCs/>
          <w:color w:val="000000"/>
          <w:sz w:val="32"/>
          <w:szCs w:val="32"/>
        </w:rPr>
        <w:t>条</w:t>
      </w:r>
      <w:r>
        <w:rPr>
          <w:rFonts w:hint="eastAsia"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县级以上人民政府应当加强红色资源</w:t>
      </w:r>
      <w:r>
        <w:rPr>
          <w:rFonts w:hint="eastAsia" w:ascii="仿宋_GB2312" w:eastAsia="仿宋_GB2312" w:cs="仿宋_GB2312"/>
          <w:sz w:val="32"/>
          <w:szCs w:val="32"/>
          <w:lang w:eastAsia="zh-CN"/>
        </w:rPr>
        <w:t>保护传承利用</w:t>
      </w:r>
      <w:r>
        <w:rPr>
          <w:rFonts w:hint="eastAsia" w:ascii="仿宋_GB2312" w:eastAsia="仿宋_GB2312" w:cs="仿宋_GB2312"/>
          <w:sz w:val="32"/>
          <w:szCs w:val="32"/>
        </w:rPr>
        <w:t>人才培养，优化管理队伍，充实科研力量，提高保护修复、陈列展览、</w:t>
      </w:r>
      <w:r>
        <w:rPr>
          <w:rFonts w:hint="eastAsia" w:ascii="仿宋_GB2312" w:eastAsia="仿宋_GB2312" w:cs="仿宋_GB2312"/>
          <w:sz w:val="32"/>
          <w:szCs w:val="32"/>
          <w:lang w:eastAsia="zh-CN"/>
        </w:rPr>
        <w:t>研究阐释、</w:t>
      </w:r>
      <w:r>
        <w:rPr>
          <w:rFonts w:hint="eastAsia" w:ascii="仿宋_GB2312" w:eastAsia="仿宋_GB2312" w:cs="仿宋_GB2312"/>
          <w:sz w:val="32"/>
          <w:szCs w:val="32"/>
        </w:rPr>
        <w:t>宣传讲解等专业人员素养。</w:t>
      </w:r>
    </w:p>
    <w:p>
      <w:pPr>
        <w:widowControl w:val="0"/>
        <w:tabs>
          <w:tab w:val="left" w:pos="6720"/>
        </w:tabs>
        <w:wordWrap/>
        <w:overflowPunct w:val="0"/>
        <w:topLinePunct/>
        <w:adjustRightInd w:val="0"/>
        <w:snapToGrid w:val="0"/>
        <w:spacing w:line="600" w:lineRule="exact"/>
        <w:ind w:left="0" w:leftChars="0" w:right="0" w:firstLine="640" w:firstLineChars="200"/>
        <w:jc w:val="both"/>
        <w:textAlignment w:val="auto"/>
        <w:outlineLvl w:val="9"/>
        <w:rPr>
          <w:rFonts w:hint="eastAsia" w:ascii="仿宋_GB2312" w:eastAsia="仿宋_GB2312" w:cs="仿宋_GB2312"/>
          <w:sz w:val="32"/>
          <w:szCs w:val="32"/>
        </w:rPr>
      </w:pPr>
      <w:r>
        <w:rPr>
          <w:rFonts w:hint="eastAsia" w:ascii="仿宋_GB2312" w:eastAsia="仿宋_GB2312" w:cs="仿宋_GB2312"/>
          <w:sz w:val="32"/>
          <w:szCs w:val="32"/>
        </w:rPr>
        <w:t>鼓励支持高等学校、科研机构</w:t>
      </w:r>
      <w:r>
        <w:rPr>
          <w:rFonts w:hint="eastAsia" w:ascii="仿宋_GB2312" w:eastAsia="仿宋_GB2312" w:cs="仿宋_GB2312"/>
          <w:sz w:val="32"/>
          <w:szCs w:val="32"/>
          <w:lang w:eastAsia="zh-CN"/>
        </w:rPr>
        <w:t>等</w:t>
      </w:r>
      <w:r>
        <w:rPr>
          <w:rFonts w:hint="eastAsia" w:ascii="仿宋_GB2312" w:eastAsia="仿宋_GB2312" w:cs="仿宋_GB2312"/>
          <w:sz w:val="32"/>
          <w:szCs w:val="32"/>
        </w:rPr>
        <w:t>参与红色资源</w:t>
      </w:r>
      <w:r>
        <w:rPr>
          <w:rFonts w:hint="eastAsia" w:ascii="仿宋_GB2312" w:eastAsia="仿宋_GB2312" w:cs="仿宋_GB2312"/>
          <w:sz w:val="32"/>
          <w:szCs w:val="32"/>
          <w:lang w:eastAsia="zh-CN"/>
        </w:rPr>
        <w:t>保护传承利用</w:t>
      </w:r>
      <w:r>
        <w:rPr>
          <w:rFonts w:hint="eastAsia" w:ascii="仿宋_GB2312" w:eastAsia="仿宋_GB2312" w:cs="仿宋_GB2312"/>
          <w:sz w:val="32"/>
          <w:szCs w:val="32"/>
        </w:rPr>
        <w:t>相关专业人才培养。支持符合条件的专业人员申报文物博物、思想政治工作、档案等专业职称。</w:t>
      </w:r>
    </w:p>
    <w:p>
      <w:pPr>
        <w:widowControl w:val="0"/>
        <w:tabs>
          <w:tab w:val="left" w:pos="6720"/>
        </w:tabs>
        <w:wordWrap/>
        <w:overflowPunct w:val="0"/>
        <w:topLinePunct/>
        <w:adjustRightInd w:val="0"/>
        <w:snapToGrid w:val="0"/>
        <w:spacing w:line="600" w:lineRule="exact"/>
        <w:ind w:left="0" w:leftChars="0" w:right="0" w:firstLine="640" w:firstLineChars="200"/>
        <w:jc w:val="both"/>
        <w:textAlignment w:val="auto"/>
        <w:outlineLvl w:val="9"/>
        <w:rPr>
          <w:rFonts w:hint="eastAsia" w:ascii="仿宋_GB2312" w:eastAsia="仿宋_GB2312" w:cs="仿宋_GB2312"/>
          <w:sz w:val="32"/>
          <w:szCs w:val="32"/>
        </w:rPr>
      </w:pPr>
      <w:r>
        <w:rPr>
          <w:rFonts w:hint="eastAsia" w:ascii="仿宋_GB2312" w:hAnsi="仿宋_GB2312" w:eastAsia="黑体" w:cs="Times New Roman"/>
          <w:bCs/>
          <w:color w:val="000000"/>
          <w:sz w:val="32"/>
          <w:szCs w:val="32"/>
        </w:rPr>
        <w:t>第</w:t>
      </w:r>
      <w:r>
        <w:rPr>
          <w:rFonts w:hint="eastAsia" w:ascii="仿宋_GB2312" w:hAnsi="仿宋_GB2312" w:eastAsia="黑体" w:cs="Times New Roman"/>
          <w:bCs/>
          <w:color w:val="000000"/>
          <w:sz w:val="32"/>
          <w:szCs w:val="32"/>
          <w:lang w:eastAsia="zh-CN"/>
        </w:rPr>
        <w:t>三十八</w:t>
      </w:r>
      <w:r>
        <w:rPr>
          <w:rFonts w:hint="eastAsia" w:ascii="仿宋_GB2312" w:hAnsi="仿宋_GB2312" w:eastAsia="黑体" w:cs="Times New Roman"/>
          <w:bCs/>
          <w:color w:val="000000"/>
          <w:sz w:val="32"/>
          <w:szCs w:val="32"/>
        </w:rPr>
        <w:t>条</w:t>
      </w:r>
      <w:r>
        <w:rPr>
          <w:rFonts w:hint="eastAsia"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鼓励支持公众参与红色资源</w:t>
      </w:r>
      <w:r>
        <w:rPr>
          <w:rFonts w:hint="eastAsia" w:ascii="仿宋_GB2312" w:eastAsia="仿宋_GB2312" w:cs="仿宋_GB2312"/>
          <w:sz w:val="32"/>
          <w:szCs w:val="32"/>
          <w:lang w:eastAsia="zh-CN"/>
        </w:rPr>
        <w:t>保护传承利用</w:t>
      </w:r>
      <w:r>
        <w:rPr>
          <w:rFonts w:hint="eastAsia" w:ascii="仿宋_GB2312" w:eastAsia="仿宋_GB2312" w:cs="仿宋_GB2312"/>
          <w:sz w:val="32"/>
          <w:szCs w:val="32"/>
        </w:rPr>
        <w:t>相关志愿服务活动，</w:t>
      </w:r>
      <w:r>
        <w:rPr>
          <w:rFonts w:hint="eastAsia" w:ascii="仿宋_GB2312" w:eastAsia="仿宋_GB2312" w:cs="仿宋_GB2312"/>
          <w:sz w:val="32"/>
          <w:szCs w:val="32"/>
          <w:lang w:eastAsia="zh-CN"/>
        </w:rPr>
        <w:t>有关部门和</w:t>
      </w:r>
      <w:r>
        <w:rPr>
          <w:rFonts w:hint="eastAsia" w:ascii="仿宋_GB2312" w:eastAsia="仿宋_GB2312" w:cs="仿宋_GB2312"/>
          <w:sz w:val="32"/>
          <w:szCs w:val="32"/>
        </w:rPr>
        <w:t>单位应当为志愿服务活动提供指导和便利。</w:t>
      </w:r>
    </w:p>
    <w:p>
      <w:pPr>
        <w:widowControl w:val="0"/>
        <w:tabs>
          <w:tab w:val="left" w:pos="6720"/>
        </w:tabs>
        <w:wordWrap/>
        <w:overflowPunct w:val="0"/>
        <w:topLinePunct/>
        <w:adjustRightInd w:val="0"/>
        <w:snapToGrid w:val="0"/>
        <w:spacing w:line="600" w:lineRule="exact"/>
        <w:ind w:left="0" w:leftChars="0" w:right="0" w:firstLine="640" w:firstLineChars="200"/>
        <w:jc w:val="both"/>
        <w:textAlignment w:val="auto"/>
        <w:outlineLvl w:val="9"/>
        <w:rPr>
          <w:rFonts w:hint="eastAsia" w:ascii="仿宋_GB2312" w:eastAsia="仿宋_GB2312" w:cs="仿宋_GB2312"/>
          <w:sz w:val="32"/>
          <w:szCs w:val="32"/>
        </w:rPr>
      </w:pPr>
      <w:r>
        <w:rPr>
          <w:rFonts w:hint="eastAsia" w:ascii="仿宋_GB2312" w:hAnsi="仿宋_GB2312" w:eastAsia="黑体" w:cs="Times New Roman"/>
          <w:bCs/>
          <w:color w:val="000000"/>
          <w:sz w:val="32"/>
          <w:szCs w:val="32"/>
        </w:rPr>
        <w:t>第</w:t>
      </w:r>
      <w:r>
        <w:rPr>
          <w:rFonts w:hint="eastAsia" w:ascii="仿宋_GB2312" w:hAnsi="仿宋_GB2312" w:eastAsia="黑体" w:cs="Times New Roman"/>
          <w:bCs/>
          <w:color w:val="000000"/>
          <w:sz w:val="32"/>
          <w:szCs w:val="32"/>
          <w:lang w:eastAsia="zh-CN"/>
        </w:rPr>
        <w:t>三十九</w:t>
      </w:r>
      <w:r>
        <w:rPr>
          <w:rFonts w:hint="eastAsia" w:ascii="仿宋_GB2312" w:hAnsi="仿宋_GB2312" w:eastAsia="黑体" w:cs="Times New Roman"/>
          <w:bCs/>
          <w:color w:val="000000"/>
          <w:sz w:val="32"/>
          <w:szCs w:val="32"/>
        </w:rPr>
        <w:t>条</w:t>
      </w:r>
      <w:r>
        <w:rPr>
          <w:rFonts w:hint="eastAsia" w:ascii="仿宋_GB2312" w:eastAsia="仿宋_GB2312" w:cs="仿宋_GB2312"/>
          <w:sz w:val="32"/>
          <w:szCs w:val="32"/>
        </w:rPr>
        <w:t xml:space="preserve"> </w:t>
      </w: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新闻出版、电影、文化和旅游</w:t>
      </w:r>
      <w:r>
        <w:rPr>
          <w:rFonts w:hint="eastAsia" w:ascii="仿宋_GB2312" w:eastAsia="仿宋_GB2312" w:cs="仿宋_GB2312"/>
          <w:sz w:val="32"/>
          <w:szCs w:val="32"/>
          <w:lang w:eastAsia="zh-CN"/>
        </w:rPr>
        <w:t>（文物）</w:t>
      </w:r>
      <w:r>
        <w:rPr>
          <w:rFonts w:hint="eastAsia" w:ascii="仿宋_GB2312" w:eastAsia="仿宋_GB2312" w:cs="仿宋_GB2312"/>
          <w:sz w:val="32"/>
          <w:szCs w:val="32"/>
        </w:rPr>
        <w:t>、</w:t>
      </w:r>
      <w:r>
        <w:rPr>
          <w:rFonts w:hint="eastAsia" w:ascii="仿宋_GB2312" w:eastAsia="仿宋_GB2312" w:cs="仿宋_GB2312"/>
          <w:sz w:val="32"/>
          <w:szCs w:val="32"/>
          <w:lang w:eastAsia="zh-CN"/>
        </w:rPr>
        <w:t>广播电视、退役军人、住房城乡建设、档案</w:t>
      </w:r>
      <w:r>
        <w:rPr>
          <w:rFonts w:hint="eastAsia" w:ascii="仿宋_GB2312" w:eastAsia="仿宋_GB2312" w:cs="仿宋_GB2312"/>
          <w:sz w:val="32"/>
          <w:szCs w:val="32"/>
        </w:rPr>
        <w:t>等部门和单位应当依法对红色资源</w:t>
      </w:r>
      <w:r>
        <w:rPr>
          <w:rFonts w:hint="eastAsia" w:ascii="仿宋_GB2312" w:eastAsia="仿宋_GB2312" w:cs="仿宋_GB2312"/>
          <w:sz w:val="32"/>
          <w:szCs w:val="32"/>
          <w:lang w:eastAsia="zh-CN"/>
        </w:rPr>
        <w:t>保护传承利用</w:t>
      </w:r>
      <w:r>
        <w:rPr>
          <w:rFonts w:hint="eastAsia" w:ascii="仿宋_GB2312" w:eastAsia="仿宋_GB2312" w:cs="仿宋_GB2312"/>
          <w:sz w:val="32"/>
          <w:szCs w:val="32"/>
        </w:rPr>
        <w:t>开展日常巡查、行政执法，依法查处违法行为。</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黑体" w:hAnsi="黑体" w:eastAsia="黑体" w:cs="黑体"/>
          <w:bCs/>
          <w:color w:val="000000"/>
          <w:sz w:val="32"/>
          <w:szCs w:val="32"/>
          <w:lang w:val="zh-CN"/>
        </w:rPr>
      </w:pPr>
      <w:r>
        <w:rPr>
          <w:rFonts w:hint="eastAsia" w:ascii="黑体" w:eastAsia="黑体" w:cs="黑体"/>
          <w:sz w:val="32"/>
          <w:szCs w:val="32"/>
        </w:rPr>
        <w:t>第</w:t>
      </w:r>
      <w:r>
        <w:rPr>
          <w:rFonts w:hint="eastAsia" w:ascii="黑体" w:eastAsia="黑体" w:cs="黑体"/>
          <w:sz w:val="32"/>
          <w:szCs w:val="32"/>
          <w:lang w:eastAsia="zh-CN"/>
        </w:rPr>
        <w:t>四</w:t>
      </w:r>
      <w:r>
        <w:rPr>
          <w:rFonts w:hint="eastAsia" w:ascii="黑体" w:eastAsia="黑体" w:cs="黑体"/>
          <w:sz w:val="32"/>
          <w:szCs w:val="32"/>
        </w:rPr>
        <w:t>十条</w:t>
      </w:r>
      <w:r>
        <w:rPr>
          <w:rFonts w:hint="eastAsia" w:ascii="黑体" w:eastAsia="黑体" w:cs="黑体"/>
          <w:sz w:val="32"/>
          <w:szCs w:val="32"/>
          <w:lang w:val="en-US" w:eastAsia="zh-CN"/>
        </w:rPr>
        <w:t xml:space="preserve">  </w:t>
      </w:r>
      <w:r>
        <w:rPr>
          <w:rFonts w:hint="eastAsia" w:ascii="仿宋_GB2312" w:hAnsi="仿宋_GB2312" w:eastAsia="仿宋_GB2312" w:cs="仿宋_GB2312"/>
          <w:color w:val="000000"/>
          <w:kern w:val="2"/>
          <w:sz w:val="32"/>
          <w:szCs w:val="32"/>
          <w:lang w:val="en-US" w:eastAsia="zh-CN" w:bidi="ar-SA"/>
        </w:rPr>
        <w:t>检察机关依法在红色资源保护工作中开展公益诉讼。</w:t>
      </w:r>
    </w:p>
    <w:p>
      <w:pPr>
        <w:widowControl w:val="0"/>
        <w:tabs>
          <w:tab w:val="left" w:pos="6720"/>
        </w:tabs>
        <w:wordWrap/>
        <w:overflowPunct w:val="0"/>
        <w:adjustRightInd/>
        <w:snapToGrid/>
        <w:spacing w:before="290" w:beforeLines="100" w:after="290" w:afterLines="100" w:line="600" w:lineRule="exact"/>
        <w:ind w:left="0" w:leftChars="0" w:right="0" w:firstLine="0" w:firstLineChars="0"/>
        <w:jc w:val="center"/>
        <w:textAlignment w:val="auto"/>
        <w:outlineLvl w:val="9"/>
        <w:rPr>
          <w:rFonts w:hint="eastAsia" w:ascii="黑体" w:hAnsi="黑体" w:eastAsia="黑体" w:cs="黑体"/>
          <w:bCs/>
          <w:color w:val="000000"/>
          <w:sz w:val="32"/>
          <w:szCs w:val="32"/>
          <w:lang w:val="zh-CN"/>
        </w:rPr>
      </w:pPr>
      <w:r>
        <w:rPr>
          <w:rFonts w:hint="eastAsia" w:ascii="黑体" w:hAnsi="黑体" w:eastAsia="黑体" w:cs="黑体"/>
          <w:bCs/>
          <w:color w:val="000000"/>
          <w:sz w:val="32"/>
          <w:szCs w:val="32"/>
          <w:lang w:val="zh-CN"/>
        </w:rPr>
        <w:t>第</w:t>
      </w:r>
      <w:r>
        <w:rPr>
          <w:rFonts w:hint="eastAsia" w:ascii="黑体" w:hAnsi="黑体" w:eastAsia="黑体" w:cs="黑体"/>
          <w:bCs/>
          <w:color w:val="000000"/>
          <w:sz w:val="32"/>
          <w:szCs w:val="32"/>
          <w:lang w:val="zh-CN" w:eastAsia="zh-CN"/>
        </w:rPr>
        <w:t>六</w:t>
      </w:r>
      <w:r>
        <w:rPr>
          <w:rFonts w:hint="eastAsia" w:ascii="黑体" w:hAnsi="黑体" w:eastAsia="黑体" w:cs="黑体"/>
          <w:bCs/>
          <w:color w:val="000000"/>
          <w:sz w:val="32"/>
          <w:szCs w:val="32"/>
          <w:lang w:val="zh-CN"/>
        </w:rPr>
        <w:t>章  法律责任</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仿宋_GB2312" w:eastAsia="仿宋_GB2312" w:cs="仿宋_GB2312"/>
          <w:color w:val="000000"/>
          <w:sz w:val="32"/>
          <w:szCs w:val="32"/>
          <w:lang w:val="zh-CN"/>
        </w:rPr>
      </w:pPr>
      <w:r>
        <w:rPr>
          <w:rFonts w:hint="eastAsia" w:ascii="黑体" w:eastAsia="黑体" w:cs="黑体"/>
          <w:color w:val="000000"/>
          <w:sz w:val="32"/>
          <w:szCs w:val="32"/>
          <w:lang w:val="zh-CN"/>
        </w:rPr>
        <w:t>第四十一条</w:t>
      </w:r>
      <w:r>
        <w:rPr>
          <w:rFonts w:hint="eastAsia" w:ascii="仿宋_GB2312" w:eastAsia="仿宋_GB2312" w:cs="仿宋_GB2312"/>
          <w:color w:val="000000"/>
          <w:sz w:val="32"/>
          <w:szCs w:val="32"/>
          <w:lang w:val="zh-CN"/>
        </w:rPr>
        <w:t xml:space="preserve">  违反本条例规定，破坏、损毁、涂污、侵占或者歪曲、丑化、亵渎、否定红色资源的，由有关主管部门责令改正；构成违反治安管理行为的，由公安机关依法给予处罚。</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仿宋_GB2312" w:eastAsia="仿宋_GB2312" w:cs="仿宋_GB2312"/>
          <w:color w:val="000000"/>
          <w:sz w:val="32"/>
          <w:szCs w:val="32"/>
          <w:lang w:val="zh-CN"/>
        </w:rPr>
      </w:pPr>
      <w:r>
        <w:rPr>
          <w:rFonts w:hint="eastAsia" w:ascii="黑体" w:eastAsia="黑体" w:cs="黑体"/>
          <w:color w:val="000000"/>
          <w:sz w:val="32"/>
          <w:szCs w:val="32"/>
          <w:lang w:val="zh-CN"/>
        </w:rPr>
        <w:t>第四十二条</w:t>
      </w:r>
      <w:r>
        <w:rPr>
          <w:rFonts w:hint="eastAsia" w:ascii="仿宋_GB2312" w:eastAsia="仿宋_GB2312" w:cs="仿宋_GB2312"/>
          <w:color w:val="000000"/>
          <w:sz w:val="32"/>
          <w:szCs w:val="32"/>
          <w:lang w:val="zh-CN"/>
        </w:rPr>
        <w:t xml:space="preserve">  违反本条例规定，擅自设置、移动、涂污、损毁红色资源保护标识的，由文化和旅游（文物）部门责令改正，对个人处二百元以上二千元以下罚款，对单位处五百元以上五千元以下罚款。</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仿宋_GB2312" w:eastAsia="仿宋_GB2312" w:cs="仿宋_GB2312"/>
          <w:color w:val="000000"/>
          <w:sz w:val="32"/>
          <w:szCs w:val="32"/>
          <w:lang w:val="zh-CN"/>
        </w:rPr>
      </w:pPr>
      <w:r>
        <w:rPr>
          <w:rFonts w:hint="eastAsia" w:ascii="黑体" w:eastAsia="黑体" w:cs="黑体"/>
          <w:color w:val="000000"/>
          <w:sz w:val="32"/>
          <w:szCs w:val="32"/>
          <w:lang w:val="zh-CN"/>
        </w:rPr>
        <w:t>第四十三条</w:t>
      </w:r>
      <w:r>
        <w:rPr>
          <w:rFonts w:hint="eastAsia" w:ascii="仿宋_GB2312" w:eastAsia="仿宋_GB2312" w:cs="仿宋_GB2312"/>
          <w:color w:val="000000"/>
          <w:sz w:val="32"/>
          <w:szCs w:val="32"/>
          <w:lang w:val="zh-CN"/>
        </w:rPr>
        <w:t xml:space="preserve">  各级人民政府及其有关部门违反本条例规定，不履行红色资源保护管理法定职责的，由有关主管部门责令改正；拒不改正或者造成严重后果的，对直接负责的主管人员和其他直接责任人员依法给予处分。</w:t>
      </w:r>
    </w:p>
    <w:p>
      <w:pPr>
        <w:widowControl w:val="0"/>
        <w:tabs>
          <w:tab w:val="left" w:pos="6720"/>
        </w:tabs>
        <w:wordWrap/>
        <w:overflowPunct w:val="0"/>
        <w:spacing w:line="600" w:lineRule="exact"/>
        <w:ind w:left="0" w:leftChars="0" w:right="0" w:firstLine="640" w:firstLineChars="200"/>
        <w:jc w:val="both"/>
        <w:textAlignment w:val="auto"/>
        <w:outlineLvl w:val="9"/>
        <w:rPr>
          <w:rFonts w:hint="eastAsia" w:ascii="黑体" w:hAnsi="黑体" w:eastAsia="黑体" w:cs="黑体"/>
          <w:bCs/>
          <w:color w:val="000000"/>
          <w:sz w:val="32"/>
          <w:szCs w:val="32"/>
          <w:lang w:val="zh-CN"/>
        </w:rPr>
      </w:pPr>
      <w:r>
        <w:rPr>
          <w:rFonts w:hint="eastAsia" w:ascii="黑体" w:eastAsia="黑体" w:cs="黑体"/>
          <w:color w:val="000000"/>
          <w:sz w:val="32"/>
          <w:szCs w:val="32"/>
          <w:lang w:val="zh-CN"/>
        </w:rPr>
        <w:t>第四十四条</w:t>
      </w:r>
      <w:r>
        <w:rPr>
          <w:rFonts w:hint="eastAsia" w:ascii="仿宋_GB2312" w:eastAsia="仿宋_GB2312" w:cs="仿宋_GB2312"/>
          <w:color w:val="000000"/>
          <w:sz w:val="32"/>
          <w:szCs w:val="32"/>
          <w:lang w:val="zh-CN"/>
        </w:rPr>
        <w:t xml:space="preserve">  违反本条例规定的行为，法律、法规已有处罚规定的，从其规定。</w:t>
      </w:r>
    </w:p>
    <w:p>
      <w:pPr>
        <w:widowControl w:val="0"/>
        <w:tabs>
          <w:tab w:val="left" w:pos="6720"/>
        </w:tabs>
        <w:wordWrap/>
        <w:overflowPunct w:val="0"/>
        <w:adjustRightInd/>
        <w:snapToGrid/>
        <w:spacing w:before="290" w:beforeLines="100" w:after="290" w:afterLines="100" w:line="600" w:lineRule="exact"/>
        <w:ind w:left="0" w:leftChars="0" w:right="0" w:firstLine="0" w:firstLineChars="0"/>
        <w:jc w:val="center"/>
        <w:textAlignment w:val="auto"/>
        <w:outlineLvl w:val="9"/>
        <w:rPr>
          <w:rFonts w:eastAsia="黑体" w:cs="黑体"/>
          <w:sz w:val="32"/>
          <w:szCs w:val="32"/>
        </w:rPr>
      </w:pPr>
      <w:r>
        <w:rPr>
          <w:rFonts w:hint="eastAsia" w:ascii="黑体" w:hAnsi="黑体" w:eastAsia="黑体" w:cs="黑体"/>
          <w:bCs/>
          <w:color w:val="000000"/>
          <w:kern w:val="2"/>
          <w:sz w:val="32"/>
          <w:szCs w:val="32"/>
          <w:lang w:val="zh-CN" w:eastAsia="zh-CN" w:bidi="ar-SA"/>
        </w:rPr>
        <w:t>第七章　附　则</w:t>
      </w:r>
    </w:p>
    <w:p>
      <w:pPr>
        <w:widowControl w:val="0"/>
        <w:tabs>
          <w:tab w:val="left" w:pos="6720"/>
        </w:tabs>
        <w:wordWrap/>
        <w:overflowPunct w:val="0"/>
        <w:spacing w:line="600" w:lineRule="exact"/>
        <w:ind w:left="0" w:leftChars="0" w:right="0" w:firstLine="640" w:firstLineChars="200"/>
        <w:jc w:val="both"/>
        <w:textAlignment w:val="auto"/>
        <w:outlineLvl w:val="9"/>
        <w:rPr>
          <w:rFonts w:eastAsia="仿宋_GB2312" w:cs="仿宋_GB2312"/>
          <w:sz w:val="32"/>
          <w:szCs w:val="32"/>
        </w:rPr>
      </w:pPr>
      <w:r>
        <w:rPr>
          <w:rFonts w:hint="eastAsia" w:eastAsia="黑体" w:cs="黑体"/>
          <w:sz w:val="32"/>
          <w:szCs w:val="32"/>
        </w:rPr>
        <w:t>第</w:t>
      </w:r>
      <w:r>
        <w:rPr>
          <w:rFonts w:hint="eastAsia" w:eastAsia="黑体" w:cs="黑体"/>
          <w:sz w:val="32"/>
          <w:szCs w:val="32"/>
          <w:lang w:val="en-US" w:eastAsia="zh-CN"/>
        </w:rPr>
        <w:t>四十五</w:t>
      </w:r>
      <w:r>
        <w:rPr>
          <w:rFonts w:hint="eastAsia" w:eastAsia="黑体" w:cs="黑体"/>
          <w:sz w:val="32"/>
          <w:szCs w:val="32"/>
        </w:rPr>
        <w:t>条</w:t>
      </w:r>
      <w:r>
        <w:rPr>
          <w:rFonts w:hint="eastAsia" w:eastAsia="仿宋_GB2312" w:cs="仿宋_GB2312"/>
          <w:sz w:val="32"/>
          <w:szCs w:val="32"/>
        </w:rPr>
        <w:t>　本条例自</w:t>
      </w:r>
      <w:r>
        <w:rPr>
          <w:rFonts w:hint="eastAsia" w:eastAsia="仿宋_GB2312" w:cs="仿宋_GB2312"/>
          <w:sz w:val="32"/>
          <w:szCs w:val="32"/>
          <w:lang w:val="en-US" w:eastAsia="zh-CN"/>
        </w:rPr>
        <w:t xml:space="preserve">    </w:t>
      </w:r>
      <w:r>
        <w:rPr>
          <w:rFonts w:hint="eastAsia" w:eastAsia="仿宋_GB2312" w:cs="仿宋_GB2312"/>
          <w:sz w:val="32"/>
          <w:szCs w:val="32"/>
          <w:lang w:eastAsia="zh-CN"/>
        </w:rPr>
        <w:t>年</w:t>
      </w:r>
      <w:r>
        <w:rPr>
          <w:rFonts w:hint="eastAsia" w:eastAsia="仿宋_GB2312" w:cs="仿宋_GB2312"/>
          <w:sz w:val="32"/>
          <w:szCs w:val="32"/>
          <w:lang w:val="en-US" w:eastAsia="zh-CN"/>
        </w:rPr>
        <w:t xml:space="preserve">  </w:t>
      </w:r>
      <w:r>
        <w:rPr>
          <w:rFonts w:hint="eastAsia" w:eastAsia="仿宋_GB2312" w:cs="仿宋_GB2312"/>
          <w:sz w:val="32"/>
          <w:szCs w:val="32"/>
          <w:lang w:eastAsia="zh-CN"/>
        </w:rPr>
        <w:t>月</w:t>
      </w:r>
      <w:r>
        <w:rPr>
          <w:rFonts w:hint="eastAsia" w:eastAsia="仿宋_GB2312" w:cs="仿宋_GB2312"/>
          <w:sz w:val="32"/>
          <w:szCs w:val="32"/>
          <w:lang w:val="en-US" w:eastAsia="zh-CN"/>
        </w:rPr>
        <w:t xml:space="preserve">  </w:t>
      </w:r>
      <w:r>
        <w:rPr>
          <w:rFonts w:hint="eastAsia" w:eastAsia="仿宋_GB2312" w:cs="仿宋_GB2312"/>
          <w:sz w:val="32"/>
          <w:szCs w:val="32"/>
          <w:lang w:eastAsia="zh-CN"/>
        </w:rPr>
        <w:t>日</w:t>
      </w:r>
      <w:r>
        <w:rPr>
          <w:rFonts w:hint="eastAsia" w:eastAsia="仿宋_GB2312" w:cs="仿宋_GB2312"/>
          <w:sz w:val="32"/>
          <w:szCs w:val="32"/>
        </w:rPr>
        <w:t>起施行。</w:t>
      </w:r>
    </w:p>
    <w:p>
      <w:pPr>
        <w:widowControl w:val="0"/>
        <w:tabs>
          <w:tab w:val="left" w:pos="6720"/>
        </w:tabs>
        <w:wordWrap/>
        <w:overflowPunct w:val="0"/>
        <w:spacing w:line="578" w:lineRule="exact"/>
        <w:ind w:left="0" w:leftChars="0" w:right="0" w:firstLine="640" w:firstLineChars="200"/>
        <w:jc w:val="both"/>
        <w:textAlignment w:val="auto"/>
        <w:outlineLvl w:val="9"/>
        <w:rPr>
          <w:rFonts w:hint="eastAsia" w:ascii="黑体" w:hAnsi="黑体" w:eastAsia="黑体" w:cs="黑体"/>
          <w:bCs/>
          <w:color w:val="000000"/>
          <w:sz w:val="32"/>
          <w:szCs w:val="32"/>
          <w:lang w:val="zh-CN"/>
        </w:rPr>
      </w:pPr>
    </w:p>
    <w:p>
      <w:pPr>
        <w:widowControl w:val="0"/>
        <w:tabs>
          <w:tab w:val="left" w:pos="6720"/>
        </w:tabs>
        <w:wordWrap/>
        <w:overflowPunct w:val="0"/>
        <w:spacing w:line="578" w:lineRule="exact"/>
        <w:ind w:left="0" w:leftChars="0" w:right="0" w:firstLine="640" w:firstLineChars="200"/>
        <w:jc w:val="both"/>
        <w:textAlignment w:val="auto"/>
        <w:outlineLvl w:val="9"/>
        <w:rPr>
          <w:rFonts w:hint="eastAsia" w:ascii="黑体" w:hAnsi="黑体" w:eastAsia="黑体" w:cs="黑体"/>
          <w:bCs/>
          <w:color w:val="000000"/>
          <w:sz w:val="32"/>
          <w:szCs w:val="32"/>
          <w:lang w:val="zh-CN" w:eastAsia="zh-CN"/>
        </w:rPr>
      </w:pPr>
    </w:p>
    <w:p>
      <w:pPr>
        <w:widowControl w:val="0"/>
        <w:tabs>
          <w:tab w:val="left" w:pos="6720"/>
        </w:tabs>
        <w:wordWrap/>
        <w:overflowPunct w:val="0"/>
        <w:spacing w:line="578" w:lineRule="exact"/>
        <w:ind w:left="0" w:leftChars="0" w:right="0" w:firstLine="640" w:firstLineChars="200"/>
        <w:jc w:val="both"/>
        <w:textAlignment w:val="auto"/>
        <w:outlineLvl w:val="9"/>
        <w:rPr>
          <w:sz w:val="32"/>
          <w:szCs w:val="32"/>
        </w:rPr>
      </w:pPr>
    </w:p>
    <w:p>
      <w:pPr>
        <w:widowControl w:val="0"/>
        <w:wordWrap/>
        <w:adjustRightInd/>
        <w:snapToGrid/>
        <w:spacing w:line="560" w:lineRule="exact"/>
        <w:ind w:left="0" w:leftChars="0" w:right="1680" w:rightChars="800" w:firstLine="0" w:firstLineChars="0"/>
        <w:jc w:val="both"/>
        <w:textAlignment w:val="auto"/>
        <w:outlineLvl w:val="9"/>
        <w:rPr>
          <w:rFonts w:hint="eastAsia" w:ascii="仿宋_GB2312" w:hAnsi="仿宋_GB2312" w:eastAsia="仿宋_GB2312" w:cs="仿宋_GB2312"/>
          <w:b w:val="0"/>
          <w:bCs/>
          <w:sz w:val="32"/>
          <w:szCs w:val="32"/>
          <w:lang w:val="en-US" w:eastAsia="zh-CN"/>
        </w:rPr>
      </w:pPr>
    </w:p>
    <w:sectPr>
      <w:footerReference r:id="rId5" w:type="default"/>
      <w:pgSz w:w="11906" w:h="16838"/>
      <w:pgMar w:top="2098" w:right="1531" w:bottom="1984" w:left="1531" w:header="850" w:footer="1587" w:gutter="0"/>
      <w:paperSrc/>
      <w:pgNumType w:fmt="decimal" w:start="2"/>
      <w:cols w:space="720" w:num="1"/>
      <w:rtlGutter w:val="0"/>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84CC22-80A1-48A4-B05A-FA229321025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BC33D38-194D-40EF-9B99-D967F1B51D03}"/>
  </w:font>
  <w:font w:name="文星仿宋">
    <w:altName w:val="仿宋"/>
    <w:panose1 w:val="00000000000000000000"/>
    <w:charset w:val="00"/>
    <w:family w:val="auto"/>
    <w:pitch w:val="default"/>
    <w:sig w:usb0="00000000" w:usb1="00000000" w:usb2="00000010"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DF33E769-5D44-4DF2-89F0-1DDA6F8788F0}"/>
  </w:font>
  <w:font w:name="仿宋_GB2312">
    <w:altName w:val="仿宋"/>
    <w:panose1 w:val="02010609030101010101"/>
    <w:charset w:val="86"/>
    <w:family w:val="auto"/>
    <w:pitch w:val="default"/>
    <w:sig w:usb0="00000000" w:usb1="00000000" w:usb2="00000000" w:usb3="00000000" w:csb0="00040000" w:csb1="00000000"/>
    <w:embedRegular r:id="rId4" w:fontKey="{288A6D06-D40F-4B51-BCFC-1F53F1596199}"/>
  </w:font>
  <w:font w:name="楷体_GB2312">
    <w:altName w:val="楷体"/>
    <w:panose1 w:val="02010609030101010101"/>
    <w:charset w:val="86"/>
    <w:family w:val="auto"/>
    <w:pitch w:val="default"/>
    <w:sig w:usb0="00000000" w:usb1="00000000" w:usb2="00000000" w:usb3="00000000" w:csb0="00040000" w:csb1="00000000"/>
    <w:embedRegular r:id="rId5" w:fontKey="{E72D064D-9560-40B7-A025-E0E46EABF78C}"/>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24"/>
        <w:lang w:val="en-US" w:eastAsia="zh-CN" w:bidi="ar-SA"/>
      </w:rPr>
      <w:pict>
        <v:shape id="文本框 3" o:spid="_x0000_s2049"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widowControl w:val="0"/>
                  <w:wordWrap/>
                  <w:adjustRightInd/>
                  <w:snapToGrid w:val="0"/>
                  <w:spacing w:line="240" w:lineRule="auto"/>
                  <w:ind w:left="420" w:leftChars="200" w:right="420" w:rightChars="200" w:firstLine="0" w:firstLineChars="0"/>
                  <w:jc w:val="both"/>
                  <w:textAlignment w:val="auto"/>
                  <w:outlineLvl w:val="9"/>
                  <w:rPr>
                    <w:rFonts w:hint="eastAsia" w:eastAsia="宋体"/>
                    <w:sz w:val="1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ED011"/>
    <w:multiLevelType w:val="singleLevel"/>
    <w:tmpl w:val="BFFED011"/>
    <w:lvl w:ilvl="0" w:tentative="0">
      <w:start w:val="7"/>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44"/>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QwYTE0ZmVkYzg2NjBhZGRiNjRmZjRjZmE4YTk2NDgifQ=="/>
  </w:docVars>
  <w:rsids>
    <w:rsidRoot w:val="77A79D15"/>
    <w:rsid w:val="231F4DAE"/>
    <w:rsid w:val="3CC527C1"/>
    <w:rsid w:val="42A77521"/>
    <w:rsid w:val="43DC31A1"/>
    <w:rsid w:val="446E0022"/>
    <w:rsid w:val="671230A7"/>
    <w:rsid w:val="74E86099"/>
    <w:rsid w:val="76852947"/>
    <w:rsid w:val="77A79D15"/>
    <w:rsid w:val="7BBBD0B7"/>
    <w:rsid w:val="7EBFDE03"/>
    <w:rsid w:val="BD6DFBF4"/>
    <w:rsid w:val="EFFAC5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2"/>
    <w:basedOn w:val="1"/>
    <w:next w:val="1"/>
    <w:autoRedefine/>
    <w:qFormat/>
    <w:uiPriority w:val="0"/>
    <w:pPr>
      <w:keepNext/>
      <w:keepLines/>
      <w:widowControl w:val="0"/>
      <w:spacing w:before="260" w:after="260" w:line="415" w:lineRule="auto"/>
      <w:outlineLvl w:val="1"/>
    </w:pPr>
    <w:rPr>
      <w:rFonts w:ascii="Arial" w:hAnsi="Arial" w:eastAsia="黑体"/>
      <w:b/>
      <w:sz w:val="32"/>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rFonts w:eastAsia="文星仿宋"/>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8">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2024-04-26T00:16:00Z</dcterms:created>
  <dc:creator>迈克尔福</dc:creator>
  <cp:lastModifiedBy>清心</cp:lastModifiedBy>
  <cp:lastPrinted>2024-04-26T11:58:00Z</cp:lastPrinted>
  <dcterms:modified xsi:type="dcterms:W3CDTF">2024-04-29T02:59:59Z</dcterms:modified>
  <dc:title>关于征求对《贵州省红色资源保护传承利用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EDE8F2054A85457C85F369E613195421_12</vt:lpwstr>
  </property>
</Properties>
</file>