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wordWrap/>
        <w:overflowPunct w:val="0"/>
        <w:adjustRightInd/>
        <w:snapToGrid/>
        <w:spacing w:line="578" w:lineRule="exact"/>
        <w:ind w:left="0" w:leftChars="0" w:right="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p>
    <w:p>
      <w:pPr>
        <w:pStyle w:val="3"/>
        <w:widowControl w:val="0"/>
        <w:wordWrap/>
        <w:overflowPunct w:val="0"/>
        <w:adjustRightInd/>
        <w:snapToGrid/>
        <w:spacing w:line="578" w:lineRule="exact"/>
        <w:ind w:left="0" w:leftChars="0" w:right="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r>
        <w:rPr>
          <w:rFonts w:hint="eastAsia" w:ascii="方正小标宋_GBK" w:hAnsi="方正小标宋_GBK" w:eastAsia="方正小标宋_GBK" w:cs="方正小标宋_GBK"/>
          <w:color w:val="000000"/>
          <w:spacing w:val="0"/>
          <w:w w:val="100"/>
          <w:sz w:val="44"/>
          <w:szCs w:val="44"/>
          <w:lang w:val="en-US" w:eastAsia="zh-CN"/>
        </w:rPr>
        <w:t>贵州省人民代表大会常务委员会关于废止</w:t>
      </w:r>
    </w:p>
    <w:p>
      <w:pPr>
        <w:pStyle w:val="3"/>
        <w:widowControl w:val="0"/>
        <w:wordWrap/>
        <w:overflowPunct w:val="0"/>
        <w:adjustRightInd/>
        <w:snapToGrid/>
        <w:spacing w:line="578" w:lineRule="exact"/>
        <w:ind w:left="0" w:leftChars="0" w:right="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r>
        <w:rPr>
          <w:rFonts w:hint="eastAsia" w:ascii="方正小标宋_GBK" w:hAnsi="方正小标宋_GBK" w:eastAsia="方正小标宋_GBK" w:cs="方正小标宋_GBK"/>
          <w:color w:val="000000"/>
          <w:spacing w:val="0"/>
          <w:w w:val="100"/>
          <w:sz w:val="44"/>
          <w:szCs w:val="44"/>
          <w:lang w:val="en-US" w:eastAsia="zh-CN"/>
        </w:rPr>
        <w:t>《贵州省人民代表大会常务委员会关于</w:t>
      </w:r>
    </w:p>
    <w:p>
      <w:pPr>
        <w:pStyle w:val="3"/>
        <w:widowControl w:val="0"/>
        <w:wordWrap/>
        <w:overflowPunct w:val="0"/>
        <w:adjustRightInd/>
        <w:snapToGrid/>
        <w:spacing w:line="578" w:lineRule="exact"/>
        <w:ind w:left="0" w:leftChars="0" w:right="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r>
        <w:rPr>
          <w:rFonts w:hint="eastAsia" w:ascii="方正小标宋_GBK" w:hAnsi="方正小标宋_GBK" w:eastAsia="方正小标宋_GBK" w:cs="方正小标宋_GBK"/>
          <w:color w:val="000000"/>
          <w:spacing w:val="0"/>
          <w:w w:val="100"/>
          <w:sz w:val="44"/>
          <w:szCs w:val="44"/>
          <w:lang w:val="en-US" w:eastAsia="zh-CN"/>
        </w:rPr>
        <w:t>撤销地方国家机关工作人员职务</w:t>
      </w:r>
    </w:p>
    <w:p>
      <w:pPr>
        <w:pStyle w:val="3"/>
        <w:widowControl w:val="0"/>
        <w:wordWrap/>
        <w:overflowPunct w:val="0"/>
        <w:adjustRightInd/>
        <w:snapToGrid/>
        <w:spacing w:line="578" w:lineRule="exact"/>
        <w:ind w:left="0" w:leftChars="0" w:right="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r>
        <w:rPr>
          <w:rFonts w:hint="eastAsia" w:ascii="方正小标宋_GBK" w:hAnsi="方正小标宋_GBK" w:eastAsia="方正小标宋_GBK" w:cs="方正小标宋_GBK"/>
          <w:color w:val="000000"/>
          <w:spacing w:val="0"/>
          <w:w w:val="100"/>
          <w:sz w:val="44"/>
          <w:szCs w:val="44"/>
          <w:lang w:val="en-US" w:eastAsia="zh-CN"/>
        </w:rPr>
        <w:t>程序的规定》等地方性</w:t>
      </w:r>
    </w:p>
    <w:p>
      <w:pPr>
        <w:pStyle w:val="3"/>
        <w:widowControl w:val="0"/>
        <w:wordWrap/>
        <w:overflowPunct w:val="0"/>
        <w:adjustRightInd/>
        <w:snapToGrid/>
        <w:spacing w:line="578" w:lineRule="exact"/>
        <w:ind w:left="0" w:leftChars="0" w:right="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r>
        <w:rPr>
          <w:rFonts w:hint="eastAsia" w:ascii="方正小标宋_GBK" w:hAnsi="方正小标宋_GBK" w:eastAsia="方正小标宋_GBK" w:cs="方正小标宋_GBK"/>
          <w:color w:val="000000"/>
          <w:spacing w:val="0"/>
          <w:w w:val="100"/>
          <w:sz w:val="44"/>
          <w:szCs w:val="44"/>
          <w:lang w:val="en-US" w:eastAsia="zh-CN"/>
        </w:rPr>
        <w:t>法规的决定（稿）</w:t>
      </w:r>
    </w:p>
    <w:p>
      <w:pPr>
        <w:pStyle w:val="3"/>
        <w:widowControl w:val="0"/>
        <w:wordWrap/>
        <w:overflowPunct w:val="0"/>
        <w:adjustRightInd/>
        <w:snapToGrid/>
        <w:spacing w:line="578" w:lineRule="exact"/>
        <w:ind w:left="0" w:leftChars="0" w:right="0" w:firstLine="640" w:firstLineChars="200"/>
        <w:jc w:val="both"/>
        <w:textAlignment w:val="auto"/>
        <w:outlineLvl w:val="9"/>
        <w:rPr>
          <w:rFonts w:hint="eastAsia" w:ascii="黑体" w:hAnsi="黑体" w:eastAsia="黑体" w:cs="黑体"/>
          <w:color w:val="000000"/>
          <w:spacing w:val="0"/>
          <w:w w:val="100"/>
          <w:sz w:val="32"/>
          <w:szCs w:val="32"/>
          <w:lang w:val="en-US" w:eastAsia="zh-CN"/>
        </w:rPr>
      </w:pP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一、废止《贵州省人民代表大会常务委员会关于撤销地方国家机关工作人员职务程序的规定》</w:t>
      </w:r>
      <w:r>
        <w:rPr>
          <w:rFonts w:hint="eastAsia" w:ascii="楷体_GB2312" w:hAnsi="楷体_GB2312" w:eastAsia="楷体_GB2312" w:cs="楷体_GB2312"/>
          <w:color w:val="000000"/>
          <w:spacing w:val="0"/>
          <w:w w:val="100"/>
          <w:sz w:val="32"/>
          <w:szCs w:val="32"/>
          <w:lang w:val="en-US" w:eastAsia="zh-CN"/>
        </w:rPr>
        <w:t>（1989年9月26日贵州省第七届人民代表大会常务委员会第九次会议通过）</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二、废止《贵州省行政事业性收费管理条例》</w:t>
      </w:r>
      <w:r>
        <w:rPr>
          <w:rFonts w:hint="eastAsia" w:ascii="楷体_GB2312" w:hAnsi="楷体_GB2312" w:eastAsia="楷体_GB2312" w:cs="楷体_GB2312"/>
          <w:color w:val="000000"/>
          <w:spacing w:val="0"/>
          <w:w w:val="100"/>
          <w:sz w:val="32"/>
          <w:szCs w:val="32"/>
          <w:lang w:val="en-US" w:eastAsia="zh-CN"/>
        </w:rPr>
        <w:t>（1994年9月28日贵州省第八届人民代表大会常务委员会第十一次会议通过）</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三、废止《贵州省技术市场管理条例》</w:t>
      </w:r>
      <w:r>
        <w:rPr>
          <w:rFonts w:hint="eastAsia" w:ascii="楷体_GB2312" w:hAnsi="楷体_GB2312" w:eastAsia="楷体_GB2312" w:cs="楷体_GB2312"/>
          <w:color w:val="000000"/>
          <w:spacing w:val="0"/>
          <w:w w:val="100"/>
          <w:sz w:val="32"/>
          <w:szCs w:val="32"/>
          <w:lang w:val="en-US" w:eastAsia="zh-CN"/>
        </w:rPr>
        <w:t>（1994年11月29日贵州省第八届人民代表大会常务委员会第十二次会议通过）</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四、废止《贵州省民营科技企业条例》</w:t>
      </w:r>
      <w:r>
        <w:rPr>
          <w:rFonts w:hint="eastAsia" w:ascii="楷体_GB2312" w:hAnsi="楷体_GB2312" w:eastAsia="楷体_GB2312" w:cs="楷体_GB2312"/>
          <w:color w:val="000000"/>
          <w:spacing w:val="0"/>
          <w:w w:val="100"/>
          <w:sz w:val="32"/>
          <w:szCs w:val="32"/>
          <w:lang w:val="en-US" w:eastAsia="zh-CN"/>
        </w:rPr>
        <w:t>（1995年8月1日贵州省第八届人民代表大会常务委员会第十六次会议通过）</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五、废止《贵州省人体器官捐献条例》</w:t>
      </w:r>
      <w:r>
        <w:rPr>
          <w:rFonts w:hint="eastAsia" w:ascii="楷体_GB2312" w:hAnsi="楷体_GB2312" w:eastAsia="楷体_GB2312" w:cs="楷体_GB2312"/>
          <w:color w:val="000000"/>
          <w:spacing w:val="0"/>
          <w:w w:val="100"/>
          <w:sz w:val="32"/>
          <w:szCs w:val="32"/>
          <w:lang w:val="en-US" w:eastAsia="zh-CN"/>
        </w:rPr>
        <w:t>（2015年9月25日贵州省第十二届人民代表大会常务委员会第十七次会议通过）</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本决定自    年  月  日起施行。</w:t>
      </w:r>
    </w:p>
    <w:p>
      <w:pPr>
        <w:pageBreakBefore w:val="0"/>
        <w:widowControl w:val="0"/>
        <w:kinsoku/>
        <w:wordWrap/>
        <w:overflowPunct w:val="0"/>
        <w:topLinePunct w:val="0"/>
        <w:autoSpaceDE/>
        <w:autoSpaceDN/>
        <w:bidi w:val="0"/>
        <w:adjustRightInd/>
        <w:snapToGrid/>
        <w:spacing w:line="600" w:lineRule="exact"/>
        <w:ind w:left="0" w:leftChars="0" w:right="0"/>
        <w:textAlignment w:val="auto"/>
      </w:pPr>
    </w:p>
    <w:p>
      <w:pPr>
        <w:pageBreakBefore w:val="0"/>
        <w:widowControl w:val="0"/>
        <w:kinsoku/>
        <w:wordWrap/>
        <w:overflowPunct w:val="0"/>
        <w:topLinePunct w:val="0"/>
        <w:autoSpaceDE/>
        <w:autoSpaceDN/>
        <w:bidi w:val="0"/>
        <w:adjustRightInd/>
        <w:snapToGrid/>
        <w:spacing w:line="600" w:lineRule="exact"/>
        <w:ind w:left="0" w:leftChars="0" w:right="0"/>
        <w:textAlignment w:val="auto"/>
      </w:pPr>
      <w:r>
        <w:br w:type="page"/>
      </w:r>
    </w:p>
    <w:p>
      <w:pPr>
        <w:pStyle w:val="2"/>
        <w:pageBreakBefore w:val="0"/>
        <w:widowControl w:val="0"/>
        <w:kinsoku/>
        <w:wordWrap/>
        <w:overflowPunct w:val="0"/>
        <w:topLinePunct w:val="0"/>
        <w:autoSpaceDE/>
        <w:autoSpaceDN/>
        <w:bidi w:val="0"/>
        <w:adjustRightInd/>
        <w:snapToGrid/>
        <w:spacing w:before="0" w:beforeLines="0" w:after="0" w:afterLines="0" w:line="600" w:lineRule="exact"/>
        <w:ind w:left="0" w:leftChars="0" w:right="0"/>
        <w:textAlignment w:val="auto"/>
      </w:pPr>
    </w:p>
    <w:p>
      <w:pPr>
        <w:pStyle w:val="3"/>
        <w:pageBreakBefore w:val="0"/>
        <w:widowControl w:val="0"/>
        <w:kinsoku/>
        <w:wordWrap/>
        <w:overflowPunct w:val="0"/>
        <w:topLinePunct w:val="0"/>
        <w:autoSpaceDE/>
        <w:autoSpaceDN/>
        <w:bidi w:val="0"/>
        <w:adjustRightInd/>
        <w:snapToGrid/>
        <w:spacing w:line="600" w:lineRule="exact"/>
        <w:ind w:left="0" w:leftChars="0" w:right="0"/>
        <w:jc w:val="center"/>
        <w:textAlignment w:val="auto"/>
        <w:outlineLvl w:val="9"/>
        <w:rPr>
          <w:rFonts w:hint="eastAsia" w:ascii="方正小标宋_GBK" w:eastAsia="方正小标宋_GBK" w:cs="方正小标宋_GBK"/>
          <w:color w:val="000000"/>
          <w:spacing w:val="0"/>
          <w:w w:val="100"/>
          <w:sz w:val="44"/>
          <w:szCs w:val="44"/>
          <w:lang w:val="en-US" w:eastAsia="zh-CN" w:bidi="ar-SA"/>
        </w:rPr>
      </w:pPr>
      <w:r>
        <w:rPr>
          <w:rFonts w:hint="eastAsia" w:ascii="方正小标宋_GBK" w:eastAsia="方正小标宋_GBK" w:cs="方正小标宋_GBK"/>
          <w:color w:val="000000"/>
          <w:spacing w:val="0"/>
          <w:w w:val="100"/>
          <w:sz w:val="44"/>
          <w:szCs w:val="44"/>
          <w:lang w:val="en-US" w:eastAsia="zh-CN" w:bidi="ar-SA"/>
        </w:rPr>
        <w:t>贵州省人民代表大会常务委员会关于修改</w:t>
      </w:r>
    </w:p>
    <w:p>
      <w:pPr>
        <w:pStyle w:val="3"/>
        <w:pageBreakBefore w:val="0"/>
        <w:widowControl w:val="0"/>
        <w:kinsoku/>
        <w:wordWrap/>
        <w:overflowPunct w:val="0"/>
        <w:topLinePunct w:val="0"/>
        <w:autoSpaceDE/>
        <w:autoSpaceDN/>
        <w:bidi w:val="0"/>
        <w:adjustRightInd/>
        <w:snapToGrid/>
        <w:spacing w:line="600" w:lineRule="exact"/>
        <w:ind w:left="0" w:leftChars="0" w:right="0"/>
        <w:jc w:val="center"/>
        <w:textAlignment w:val="auto"/>
        <w:outlineLvl w:val="9"/>
        <w:rPr>
          <w:rFonts w:hint="eastAsia" w:ascii="方正小标宋_GBK" w:eastAsia="方正小标宋_GBK" w:cs="方正小标宋_GBK"/>
          <w:color w:val="000000"/>
          <w:spacing w:val="0"/>
          <w:w w:val="100"/>
          <w:sz w:val="44"/>
          <w:szCs w:val="44"/>
          <w:lang w:val="en-US" w:eastAsia="zh-CN" w:bidi="ar-SA"/>
        </w:rPr>
      </w:pPr>
      <w:r>
        <w:rPr>
          <w:rFonts w:hint="eastAsia" w:ascii="方正小标宋_GBK" w:eastAsia="方正小标宋_GBK" w:cs="方正小标宋_GBK"/>
          <w:color w:val="000000"/>
          <w:spacing w:val="0"/>
          <w:w w:val="100"/>
          <w:sz w:val="44"/>
          <w:szCs w:val="44"/>
          <w:lang w:val="en-US" w:eastAsia="zh-CN" w:bidi="ar-SA"/>
        </w:rPr>
        <w:t>《贵州省保健用品管理条例》等地方性</w:t>
      </w:r>
    </w:p>
    <w:p>
      <w:pPr>
        <w:pStyle w:val="3"/>
        <w:pageBreakBefore w:val="0"/>
        <w:widowControl w:val="0"/>
        <w:kinsoku/>
        <w:wordWrap/>
        <w:overflowPunct w:val="0"/>
        <w:topLinePunct w:val="0"/>
        <w:autoSpaceDE/>
        <w:autoSpaceDN/>
        <w:bidi w:val="0"/>
        <w:adjustRightInd/>
        <w:snapToGrid/>
        <w:spacing w:line="600" w:lineRule="exact"/>
        <w:ind w:left="0" w:leftChars="0" w:right="0"/>
        <w:jc w:val="center"/>
        <w:textAlignment w:val="auto"/>
        <w:outlineLvl w:val="9"/>
        <w:rPr>
          <w:rFonts w:hint="eastAsia" w:ascii="方正小标宋_GBK" w:eastAsia="方正小标宋_GBK" w:cs="方正小标宋_GBK"/>
          <w:color w:val="000000"/>
          <w:spacing w:val="0"/>
          <w:w w:val="100"/>
          <w:sz w:val="44"/>
          <w:szCs w:val="44"/>
          <w:lang w:val="en-US" w:eastAsia="zh-CN" w:bidi="ar-SA"/>
        </w:rPr>
      </w:pPr>
      <w:r>
        <w:rPr>
          <w:rFonts w:hint="eastAsia" w:ascii="方正小标宋_GBK" w:eastAsia="方正小标宋_GBK" w:cs="方正小标宋_GBK"/>
          <w:color w:val="000000"/>
          <w:spacing w:val="0"/>
          <w:w w:val="100"/>
          <w:sz w:val="44"/>
          <w:szCs w:val="44"/>
          <w:lang w:val="en-US" w:eastAsia="zh-CN" w:bidi="ar-SA"/>
        </w:rPr>
        <w:t>法规部分条款的决定（稿）</w:t>
      </w:r>
    </w:p>
    <w:p>
      <w:pPr>
        <w:pStyle w:val="3"/>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eastAsia="黑体" w:cs="黑体"/>
          <w:color w:val="000000"/>
          <w:spacing w:val="0"/>
          <w:w w:val="100"/>
          <w:sz w:val="32"/>
          <w:szCs w:val="32"/>
          <w:lang w:val="en-US" w:eastAsia="zh-CN" w:bidi="ar-SA"/>
        </w:rPr>
      </w:pPr>
    </w:p>
    <w:p>
      <w:pPr>
        <w:pStyle w:val="12"/>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一、对《贵州省保健用品管理条例》</w:t>
      </w:r>
      <w:r>
        <w:rPr>
          <w:rFonts w:hint="eastAsia" w:ascii="黑体" w:hAnsi="黑体" w:eastAsia="黑体" w:cs="黑体"/>
          <w:color w:val="auto"/>
          <w:sz w:val="32"/>
          <w:szCs w:val="32"/>
          <w:lang w:val="en-US" w:eastAsia="zh-CN"/>
        </w:rPr>
        <w:t>作出修改</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（一）删除第四条第二款、第七条、第八条第一款中的“地区行政公署”。</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（二）第十四条修改为：“取得省外保健用品产品批件或者卫生许可证的企业，可以在本省行政区域内从事保健用品生产或者销售。”</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（三）第二十二条第二款中的“工商行政管理部门”修改为“市场监督管理部门”。</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b w:val="0"/>
          <w:sz w:val="32"/>
          <w:szCs w:val="24"/>
          <w:lang w:val="en-US" w:eastAsia="zh-CN"/>
        </w:rPr>
        <w:t>二、对</w:t>
      </w:r>
      <w:r>
        <w:rPr>
          <w:rFonts w:hint="eastAsia" w:ascii="黑体" w:hAnsi="黑体" w:eastAsia="黑体" w:cs="黑体"/>
          <w:sz w:val="32"/>
          <w:szCs w:val="32"/>
          <w:lang w:val="en-US" w:eastAsia="zh-CN"/>
        </w:rPr>
        <w:t>《贵州省母婴保健条例》</w:t>
      </w:r>
      <w:r>
        <w:rPr>
          <w:rFonts w:hint="eastAsia" w:ascii="黑体" w:hAnsi="黑体" w:eastAsia="黑体" w:cs="黑体"/>
          <w:color w:val="auto"/>
          <w:sz w:val="32"/>
          <w:szCs w:val="32"/>
          <w:lang w:val="en-US" w:eastAsia="zh-CN"/>
        </w:rPr>
        <w:t>作出修改</w:t>
      </w:r>
    </w:p>
    <w:p>
      <w:pPr>
        <w:pageBreakBefore w:val="0"/>
        <w:widowControl w:val="0"/>
        <w:kinsoku/>
        <w:wordWrap/>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（一）删除第二十三条：“</w:t>
      </w:r>
      <w:r>
        <w:rPr>
          <w:rFonts w:hint="eastAsia" w:ascii="仿宋_GB2312" w:hAnsi="仿宋_GB2312" w:eastAsia="仿宋_GB2312" w:cs="仿宋_GB2312"/>
          <w:sz w:val="32"/>
          <w:szCs w:val="24"/>
          <w:lang w:val="en-US" w:eastAsia="zh-CN"/>
        </w:rPr>
        <w:t>母婴保健医学技术鉴定委员会进行医学鉴定时，必须有2／3以上的成员参加，遵循少数服从多数的原则，对不同意见必须记录在案。鉴定结论应当由参加鉴定的委员签名，并加盖鉴定委员会公章。鉴定材料和鉴定结论原件必须立卷存档，禁止涂改、伪造、隐匿、销毁。</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4"/>
          <w:lang w:val="en-US" w:eastAsia="zh-CN"/>
        </w:rPr>
        <w:t>“母婴保健医学技术鉴定委员会成员中与当事人有利害关系的，应当回避。</w:t>
      </w:r>
      <w:r>
        <w:rPr>
          <w:rFonts w:hint="eastAsia" w:ascii="仿宋_GB2312" w:hAnsi="仿宋_GB2312" w:eastAsia="仿宋_GB2312" w:cs="仿宋_GB2312"/>
          <w:sz w:val="32"/>
          <w:szCs w:val="32"/>
          <w:lang w:val="en-US" w:eastAsia="zh-CN"/>
        </w:rPr>
        <w:t>”</w:t>
      </w:r>
    </w:p>
    <w:p>
      <w:pPr>
        <w:pageBreakBefore w:val="0"/>
        <w:widowControl w:val="0"/>
        <w:kinsoku/>
        <w:wordWrap/>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（二）删除第二十六条：“</w:t>
      </w:r>
      <w:r>
        <w:rPr>
          <w:rFonts w:hint="eastAsia" w:ascii="仿宋_GB2312" w:hAnsi="仿宋_GB2312" w:eastAsia="仿宋_GB2312" w:cs="仿宋_GB2312"/>
          <w:sz w:val="32"/>
          <w:szCs w:val="24"/>
          <w:lang w:val="en-US" w:eastAsia="zh-CN"/>
        </w:rPr>
        <w:t>开展遗传病诊断和产前诊断的业务注册，须经省人民政府卫生健康主管部门审批；开展婚前医学检查的业务注册，经县级人民政府卫生健康主管部门审核并报市、州卫生健康主管部门审批；开展涉外、涉台港澳人员婚前医学检查的医疗保健机构，由市、州卫生健康主管部门提名，省人民政府卫生健康主管部门审批；开展接生和母婴保健工作范围内的结扎手术和终止妊娠手术的业务注册，须经县级人民政府卫生健康主管部门审批。开展以上业务，应当领取统一印制的《母婴保健技术服务执业许可证》。</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4"/>
          <w:lang w:val="en-US" w:eastAsia="zh-CN"/>
        </w:rPr>
        <w:t>“县级以上人民政府卫生健康主管部门应当将婚前医学检查机构和人员名单抄送同级民政部门备案。</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（三）删除第二十七条：</w:t>
      </w:r>
      <w:r>
        <w:rPr>
          <w:rFonts w:hint="eastAsia" w:ascii="仿宋_GB2312" w:hAnsi="仿宋_GB2312" w:eastAsia="仿宋_GB2312" w:cs="仿宋_GB2312"/>
          <w:sz w:val="32"/>
          <w:szCs w:val="24"/>
          <w:lang w:val="en-US" w:eastAsia="zh-CN"/>
        </w:rPr>
        <w:t>“从事《母婴保健法》规定的婚前医学检查、遗传病诊断、产前诊断和母婴保健工作范围内的结扎手术和终止妊娠手术的人员，必须达到国务院卫生健康主管部门规定的条件和要求，并经卫生健康主管部门考核合格，取得《母婴保健技术考核合格证书》。”</w:t>
      </w:r>
    </w:p>
    <w:p>
      <w:pPr>
        <w:pageBreakBefore w:val="0"/>
        <w:widowControl w:val="0"/>
        <w:kinsoku/>
        <w:wordWrap/>
        <w:topLinePunct w:val="0"/>
        <w:autoSpaceDE/>
        <w:autoSpaceDN/>
        <w:bidi w:val="0"/>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（四）删除第三十条：“</w:t>
      </w:r>
      <w:r>
        <w:rPr>
          <w:rFonts w:hint="eastAsia" w:ascii="仿宋_GB2312" w:hAnsi="仿宋_GB2312" w:eastAsia="仿宋_GB2312" w:cs="仿宋_GB2312"/>
          <w:sz w:val="32"/>
          <w:szCs w:val="24"/>
          <w:lang w:val="en-US" w:eastAsia="zh-CN"/>
        </w:rPr>
        <w:t>对违反本条例，未取得国家颁发的有关许可证、合格证的单位或者个人，有下列行为之一的，县级以上人民政府卫生健康主管部门应当予以制止，并可以根据情节给予警告或者对单位处以2000元以上5000元以下罚款，对个人处以1000元以上5000元以下罚款；情节严重的，对单位处以5000元以上2万元以下罚款，对个人处以5000元以上1万元以下罚款；出具的有关医学证明无效：</w:t>
      </w:r>
    </w:p>
    <w:p>
      <w:pPr>
        <w:pageBreakBefore w:val="0"/>
        <w:widowControl w:val="0"/>
        <w:kinsoku/>
        <w:wordWrap/>
        <w:topLinePunct w:val="0"/>
        <w:autoSpaceDE/>
        <w:autoSpaceDN/>
        <w:bidi w:val="0"/>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“（一）从事婚前医学检查、遗传病诊断、产前诊断、医学技术鉴定的；</w:t>
      </w:r>
    </w:p>
    <w:p>
      <w:pPr>
        <w:pageBreakBefore w:val="0"/>
        <w:widowControl w:val="0"/>
        <w:kinsoku/>
        <w:wordWrap/>
        <w:topLinePunct w:val="0"/>
        <w:autoSpaceDE/>
        <w:autoSpaceDN/>
        <w:bidi w:val="0"/>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“（二）施行终止妊娠手术的；</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4"/>
          <w:lang w:val="en-US" w:eastAsia="zh-CN"/>
        </w:rPr>
        <w:t>“（三）出具本条例规定的有关医学证明的。</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（五）删除第三十二条：“</w:t>
      </w:r>
      <w:r>
        <w:rPr>
          <w:rFonts w:hint="eastAsia" w:ascii="仿宋_GB2312" w:hAnsi="仿宋_GB2312" w:eastAsia="仿宋_GB2312" w:cs="仿宋_GB2312"/>
          <w:spacing w:val="-6"/>
          <w:sz w:val="32"/>
          <w:szCs w:val="24"/>
          <w:lang w:val="en-US" w:eastAsia="zh-CN"/>
        </w:rPr>
        <w:t>从事母婴保健的工作人员违反本条例有关规定进行胎儿性别鉴定或者出具虚假医学证明的，由医疗保健机构或者卫生健康主管部门依法给予行政处分；卫生健康主管部门并可处以1000元以上5000元以下罚款；情节严重的，取消其执业资格。</w:t>
      </w:r>
      <w:r>
        <w:rPr>
          <w:rFonts w:hint="eastAsia" w:ascii="仿宋_GB2312" w:hAnsi="仿宋_GB2312" w:eastAsia="仿宋_GB2312" w:cs="仿宋_GB2312"/>
          <w:sz w:val="32"/>
          <w:szCs w:val="32"/>
          <w:lang w:val="en-US" w:eastAsia="zh-CN"/>
        </w:rPr>
        <w:t>”</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（六）增加一条作为第二十九条，内容为：“违反本条例规定的其他行为，法律、法规有处罚规定的，从其规定。”</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color w:val="auto"/>
          <w:sz w:val="32"/>
          <w:szCs w:val="32"/>
          <w:lang w:val="en-US" w:eastAsia="zh-CN"/>
        </w:rPr>
        <w:t>对</w:t>
      </w:r>
      <w:r>
        <w:rPr>
          <w:rFonts w:hint="eastAsia" w:ascii="黑体" w:hAnsi="黑体" w:eastAsia="黑体" w:cs="黑体"/>
          <w:sz w:val="32"/>
          <w:szCs w:val="32"/>
          <w:lang w:val="en-US" w:eastAsia="zh-CN"/>
        </w:rPr>
        <w:t>《贵州省传统村落保护和发展条例》</w:t>
      </w:r>
      <w:r>
        <w:rPr>
          <w:rFonts w:hint="eastAsia" w:ascii="黑体" w:hAnsi="黑体" w:eastAsia="黑体" w:cs="黑体"/>
          <w:color w:val="auto"/>
          <w:sz w:val="32"/>
          <w:szCs w:val="32"/>
          <w:lang w:val="en-US" w:eastAsia="zh-CN"/>
        </w:rPr>
        <w:t>作出修改</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第四十六条第一款修改为：“鼓励和支持市场主体依法对传统村落资源进行开发利用。”</w:t>
      </w:r>
    </w:p>
    <w:p>
      <w:pPr>
        <w:pStyle w:val="12"/>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color w:val="auto"/>
          <w:sz w:val="32"/>
          <w:szCs w:val="32"/>
          <w:lang w:val="en-US" w:eastAsia="zh-CN"/>
        </w:rPr>
        <w:t>对</w:t>
      </w:r>
      <w:r>
        <w:rPr>
          <w:rFonts w:hint="eastAsia" w:ascii="黑体" w:hAnsi="黑体" w:eastAsia="黑体" w:cs="黑体"/>
          <w:sz w:val="32"/>
          <w:szCs w:val="32"/>
          <w:lang w:val="en-US" w:eastAsia="zh-CN"/>
        </w:rPr>
        <w:t>《贵州省科学技术资金投入管理条例》</w:t>
      </w:r>
      <w:r>
        <w:rPr>
          <w:rFonts w:hint="eastAsia" w:ascii="黑体" w:hAnsi="黑体" w:eastAsia="黑体" w:cs="黑体"/>
          <w:color w:val="auto"/>
          <w:sz w:val="32"/>
          <w:szCs w:val="32"/>
          <w:lang w:val="en-US" w:eastAsia="zh-CN"/>
        </w:rPr>
        <w:t>作出修改</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删除第十条第二款：</w:t>
      </w:r>
      <w:r>
        <w:rPr>
          <w:rFonts w:hint="eastAsia" w:ascii="仿宋_GB2312" w:hAnsi="仿宋_GB2312" w:eastAsia="仿宋_GB2312" w:cs="仿宋_GB2312"/>
          <w:sz w:val="32"/>
          <w:szCs w:val="24"/>
          <w:lang w:val="en-US" w:eastAsia="zh-CN"/>
        </w:rPr>
        <w:t>“企业每年用于技术开发的经费，应当占当年销售收入的1％以上，高新技术企业应当占3％以上，并按照实际发生额摊入成本费用。”</w:t>
      </w:r>
    </w:p>
    <w:p>
      <w:pPr>
        <w:pStyle w:val="12"/>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五、对《贵州省促进科技成果转化条例》</w:t>
      </w:r>
      <w:r>
        <w:rPr>
          <w:rFonts w:hint="eastAsia" w:ascii="黑体" w:hAnsi="黑体" w:eastAsia="黑体" w:cs="黑体"/>
          <w:color w:val="auto"/>
          <w:sz w:val="32"/>
          <w:szCs w:val="32"/>
          <w:lang w:val="en-US" w:eastAsia="zh-CN"/>
        </w:rPr>
        <w:t>作出修改</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第二十七条第二款中的“应当优先支持”修改为“鼓励支持”。</w:t>
      </w:r>
    </w:p>
    <w:p>
      <w:pPr>
        <w:pStyle w:val="12"/>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六、对《贵州省民办教育促进条例》</w:t>
      </w:r>
      <w:r>
        <w:rPr>
          <w:rFonts w:hint="eastAsia" w:ascii="黑体" w:hAnsi="黑体" w:eastAsia="黑体" w:cs="黑体"/>
          <w:color w:val="auto"/>
          <w:sz w:val="32"/>
          <w:szCs w:val="32"/>
          <w:lang w:val="en-US" w:eastAsia="zh-CN"/>
        </w:rPr>
        <w:t>作出修改</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删除第七条：“</w:t>
      </w:r>
      <w:r>
        <w:rPr>
          <w:rFonts w:hint="eastAsia" w:ascii="仿宋_GB2312" w:hAnsi="仿宋_GB2312" w:eastAsia="仿宋_GB2312" w:cs="仿宋_GB2312"/>
          <w:sz w:val="32"/>
          <w:szCs w:val="24"/>
          <w:lang w:val="en-US" w:eastAsia="zh-CN"/>
        </w:rPr>
        <w:t>设立民办学校应当按照法定条件报有关行政机关审批：</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4"/>
          <w:lang w:val="en-US" w:eastAsia="zh-CN"/>
        </w:rPr>
        <w:t>（一）普通高等本、专科院校按照国家规定的权限审批；高等职业院校报省人民政府审批，并报国务院教育行政部门备案；非学历高等教育学校、高等教育自学考试助学机构报省人民政府教育行政部门审批；</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4"/>
          <w:lang w:val="en-US" w:eastAsia="zh-CN"/>
        </w:rPr>
        <w:t>（二）普通中等专业学校、职业中等专业学校，报市、州人民政府或者地区行政公署审批，并报省人民政府教育行政部门备案；</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4"/>
          <w:lang w:val="en-US" w:eastAsia="zh-CN"/>
        </w:rPr>
        <w:t>（三）普通高级中学、职业高级中学，报市、州人民政府教育行政部门或者地区行政公署教育行政部门审批；</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4"/>
          <w:lang w:val="en-US" w:eastAsia="zh-CN"/>
        </w:rPr>
        <w:t>（四）普通初级中学、职业初级中学，报县级人民政府审批，并报市、州人民政府教育行政部门或者地区行政公署教育行政部门备案；</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4"/>
          <w:lang w:val="en-US" w:eastAsia="zh-CN"/>
        </w:rPr>
        <w:t>（五）小学、幼儿园、各类文化教育培训学校，报县级人民政府教育行政部门审批；</w:t>
      </w:r>
    </w:p>
    <w:p>
      <w:pPr>
        <w:pageBreakBefore w:val="0"/>
        <w:widowControl w:val="0"/>
        <w:numPr>
          <w:ilvl w:val="0"/>
          <w:numId w:val="0"/>
        </w:numPr>
        <w:kinsoku/>
        <w:wordWrap/>
        <w:overflowPunct w:val="0"/>
        <w:topLinePunct w:val="0"/>
        <w:autoSpaceDE/>
        <w:autoSpaceDN/>
        <w:bidi w:val="0"/>
        <w:adjustRightInd/>
        <w:snapToGrid/>
        <w:spacing w:line="60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4"/>
          <w:lang w:val="en-US" w:eastAsia="zh-CN"/>
        </w:rPr>
        <w:t>（六）以职业技能为主的职业资格培训、职业技能培训的民办学校，报县级以上人民政府劳动和社会保障行政部门审批，并抄送同级教育行政部门备案；民办技工学校，按照国家规定的权限审批。”</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eastAsia="黑体" w:cs="黑体"/>
          <w:color w:val="000000"/>
          <w:spacing w:val="0"/>
          <w:w w:val="100"/>
          <w:sz w:val="32"/>
          <w:szCs w:val="32"/>
          <w:lang w:bidi="ar-SA"/>
        </w:rPr>
      </w:pPr>
      <w:r>
        <w:rPr>
          <w:rFonts w:hint="eastAsia" w:ascii="黑体" w:eastAsia="黑体" w:cs="黑体"/>
          <w:color w:val="000000"/>
          <w:spacing w:val="0"/>
          <w:w w:val="100"/>
          <w:sz w:val="32"/>
          <w:szCs w:val="32"/>
          <w:lang w:eastAsia="zh-CN" w:bidi="ar-SA"/>
        </w:rPr>
        <w:t>七、</w:t>
      </w:r>
      <w:r>
        <w:rPr>
          <w:rFonts w:hint="eastAsia" w:ascii="黑体" w:eastAsia="黑体" w:cs="黑体"/>
          <w:color w:val="000000"/>
          <w:spacing w:val="0"/>
          <w:w w:val="100"/>
          <w:sz w:val="32"/>
          <w:szCs w:val="32"/>
          <w:lang w:bidi="ar-SA"/>
        </w:rPr>
        <w:t>对《贵州省固体废物污染环境防治条例》作出修改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eastAsia="仿宋_GB2312" w:cs="仿宋_GB2312"/>
          <w:dstrike w:val="0"/>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（一）删除第十九条第二款：“</w:t>
      </w:r>
      <w:r>
        <w:rPr>
          <w:rFonts w:hint="eastAsia" w:ascii="仿宋_GB2312" w:hAnsi="Times New Roman" w:eastAsia="仿宋_GB2312" w:cs="仿宋_GB2312"/>
          <w:i w:val="0"/>
          <w:iCs w:val="0"/>
          <w:caps w:val="0"/>
          <w:strike w:val="0"/>
          <w:dstrike w:val="0"/>
          <w:color w:val="000000"/>
          <w:spacing w:val="0"/>
          <w:sz w:val="32"/>
          <w:szCs w:val="32"/>
        </w:rPr>
        <w:t>各级生态环境主管部门不再审批建设开发区、工业园区配套建设以外的贮存、处置场</w:t>
      </w:r>
      <w:r>
        <w:rPr>
          <w:rFonts w:hint="eastAsia" w:ascii="仿宋_GB2312" w:hAnsi="仿宋_GB2312" w:eastAsia="仿宋_GB2312" w:cs="仿宋_GB2312"/>
          <w:dstrike w:val="0"/>
          <w:spacing w:val="0"/>
          <w:kern w:val="2"/>
          <w:sz w:val="32"/>
          <w:szCs w:val="24"/>
          <w:lang w:val="en-US" w:eastAsia="zh-CN" w:bidi="ar-SA"/>
        </w:rPr>
        <w:t>。</w:t>
      </w:r>
      <w:r>
        <w:rPr>
          <w:rFonts w:hint="eastAsia" w:ascii="仿宋_GB2312" w:eastAsia="仿宋_GB2312" w:cs="仿宋_GB2312"/>
          <w:dstrike w:val="0"/>
          <w:color w:val="000000"/>
          <w:spacing w:val="0"/>
          <w:w w:val="100"/>
          <w:sz w:val="32"/>
          <w:szCs w:val="32"/>
          <w:lang w:val="en-US" w:eastAsia="zh-CN" w:bidi="ar-SA"/>
        </w:rPr>
        <w:t>”第三款修改为：“工业固体废物的处置场按照国家标准进行建设、监理和验收。”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hAnsi="仿宋_GB2312" w:eastAsia="仿宋_GB2312" w:cs="仿宋_GB2312"/>
          <w:b w:val="0"/>
          <w:bCs w:val="0"/>
          <w:spacing w:val="0"/>
          <w:kern w:val="2"/>
          <w:sz w:val="32"/>
          <w:szCs w:val="24"/>
          <w:lang w:val="en-US" w:eastAsia="zh-CN" w:bidi="ar-SA"/>
        </w:rPr>
      </w:pPr>
      <w:r>
        <w:rPr>
          <w:rFonts w:hint="eastAsia" w:ascii="仿宋_GB2312" w:eastAsia="仿宋_GB2312" w:cs="仿宋_GB2312"/>
          <w:color w:val="000000"/>
          <w:spacing w:val="0"/>
          <w:w w:val="100"/>
          <w:sz w:val="32"/>
          <w:szCs w:val="32"/>
          <w:lang w:val="en-US" w:eastAsia="zh-CN" w:bidi="ar-SA"/>
        </w:rPr>
        <w:t>（二）</w:t>
      </w:r>
      <w:r>
        <w:rPr>
          <w:rFonts w:hint="eastAsia" w:ascii="仿宋_GB2312" w:eastAsia="仿宋_GB2312" w:cs="仿宋_GB2312"/>
          <w:b w:val="0"/>
          <w:bCs w:val="0"/>
          <w:color w:val="000000"/>
          <w:spacing w:val="0"/>
          <w:w w:val="100"/>
          <w:sz w:val="32"/>
          <w:szCs w:val="32"/>
          <w:lang w:val="en-US" w:eastAsia="zh-CN" w:bidi="ar-SA"/>
        </w:rPr>
        <w:t>第三十四条第一款修改为：“</w:t>
      </w:r>
      <w:r>
        <w:rPr>
          <w:rFonts w:hint="eastAsia" w:ascii="仿宋_GB2312" w:hAnsi="Times New Roman" w:eastAsia="仿宋_GB2312" w:cs="仿宋_GB2312"/>
          <w:b w:val="0"/>
          <w:bCs w:val="0"/>
          <w:i w:val="0"/>
          <w:iCs w:val="0"/>
          <w:caps w:val="0"/>
          <w:color w:val="000000"/>
          <w:spacing w:val="0"/>
          <w:sz w:val="32"/>
          <w:szCs w:val="32"/>
        </w:rPr>
        <w:t>禁止新建、改建、扩建生活垃圾填埋场</w:t>
      </w:r>
      <w:r>
        <w:rPr>
          <w:rFonts w:hint="eastAsia" w:ascii="仿宋_GB2312" w:eastAsia="仿宋_GB2312" w:cs="仿宋_GB2312"/>
          <w:b w:val="0"/>
          <w:bCs w:val="0"/>
          <w:i w:val="0"/>
          <w:iCs w:val="0"/>
          <w:caps w:val="0"/>
          <w:color w:val="000000"/>
          <w:spacing w:val="0"/>
          <w:sz w:val="32"/>
          <w:szCs w:val="32"/>
          <w:lang w:eastAsia="zh-CN"/>
        </w:rPr>
        <w:t>，</w:t>
      </w:r>
      <w:r>
        <w:rPr>
          <w:rFonts w:hint="eastAsia" w:ascii="仿宋_GB2312" w:hAnsi="Times New Roman" w:eastAsia="仿宋_GB2312" w:cs="仿宋_GB2312"/>
          <w:b w:val="0"/>
          <w:bCs w:val="0"/>
          <w:i w:val="0"/>
          <w:iCs w:val="0"/>
          <w:caps w:val="0"/>
          <w:color w:val="000000"/>
          <w:spacing w:val="0"/>
          <w:sz w:val="32"/>
          <w:szCs w:val="32"/>
          <w:lang w:eastAsia="zh-CN"/>
        </w:rPr>
        <w:t>但是以提升安全、生态环境保护水平为目的的改建除外。</w:t>
      </w:r>
      <w:r>
        <w:rPr>
          <w:rFonts w:hint="eastAsia" w:ascii="仿宋_GB2312" w:hAnsi="仿宋_GB2312" w:eastAsia="仿宋_GB2312" w:cs="仿宋_GB2312"/>
          <w:b w:val="0"/>
          <w:bCs w:val="0"/>
          <w:spacing w:val="0"/>
          <w:kern w:val="2"/>
          <w:sz w:val="32"/>
          <w:szCs w:val="24"/>
          <w:lang w:val="en-US" w:eastAsia="zh-CN" w:bidi="ar-SA"/>
        </w:rPr>
        <w:t>”</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黑体" w:eastAsia="黑体" w:cs="黑体"/>
          <w:color w:val="000000"/>
          <w:spacing w:val="0"/>
          <w:w w:val="100"/>
          <w:sz w:val="32"/>
          <w:szCs w:val="32"/>
          <w:lang w:bidi="ar-SA"/>
        </w:rPr>
      </w:pPr>
      <w:r>
        <w:rPr>
          <w:rFonts w:hint="eastAsia" w:ascii="黑体" w:eastAsia="黑体" w:cs="黑体"/>
          <w:color w:val="000000"/>
          <w:spacing w:val="0"/>
          <w:w w:val="100"/>
          <w:sz w:val="32"/>
          <w:szCs w:val="32"/>
          <w:lang w:eastAsia="zh-CN" w:bidi="ar-SA"/>
        </w:rPr>
        <w:t>八</w:t>
      </w:r>
      <w:r>
        <w:rPr>
          <w:rFonts w:hint="eastAsia" w:ascii="黑体" w:eastAsia="黑体" w:cs="黑体"/>
          <w:color w:val="000000"/>
          <w:spacing w:val="0"/>
          <w:w w:val="100"/>
          <w:sz w:val="32"/>
          <w:szCs w:val="32"/>
          <w:lang w:bidi="ar-SA"/>
        </w:rPr>
        <w:t>、对《贵州省节约用水条例》作出修改</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eastAsia="仿宋_GB2312" w:cs="仿宋_GB2312"/>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（一）第九条修改为：“县级以上人民政府根据经济社会发展需要、水资源状况和上级节水规划，组织编制本行政区域的节水规划。”</w:t>
      </w:r>
    </w:p>
    <w:p>
      <w:pPr>
        <w:pStyle w:val="3"/>
        <w:widowControl w:val="0"/>
        <w:wordWrap/>
        <w:overflowPunct w:val="0"/>
        <w:adjustRightInd/>
        <w:snapToGrid/>
        <w:spacing w:line="578" w:lineRule="exact"/>
        <w:ind w:left="0" w:leftChars="0" w:right="0"/>
        <w:textAlignment w:val="auto"/>
        <w:rPr>
          <w:rFonts w:hint="eastAsia" w:ascii="仿宋_GB2312" w:eastAsia="仿宋_GB2312" w:cs="仿宋_GB2312"/>
          <w:b w:val="0"/>
          <w:bCs w:val="0"/>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　</w:t>
      </w:r>
      <w:r>
        <w:rPr>
          <w:rFonts w:hint="eastAsia" w:ascii="仿宋_GB2312" w:eastAsia="仿宋_GB2312" w:cs="仿宋_GB2312"/>
          <w:b w:val="0"/>
          <w:bCs w:val="0"/>
          <w:color w:val="000000"/>
          <w:spacing w:val="0"/>
          <w:w w:val="100"/>
          <w:sz w:val="32"/>
          <w:szCs w:val="32"/>
          <w:lang w:val="en-US" w:eastAsia="zh-CN" w:bidi="ar-SA"/>
        </w:rPr>
        <w:t>　（二）第十三条第一款修改为：“</w:t>
      </w:r>
      <w:r>
        <w:rPr>
          <w:rFonts w:hint="eastAsia" w:ascii="仿宋_GB2312" w:eastAsia="仿宋_GB2312"/>
          <w:b w:val="0"/>
          <w:bCs w:val="0"/>
          <w:sz w:val="32"/>
          <w:szCs w:val="32"/>
          <w:lang w:eastAsia="zh-CN"/>
        </w:rPr>
        <w:t>本省</w:t>
      </w:r>
      <w:r>
        <w:rPr>
          <w:rFonts w:hint="eastAsia" w:ascii="仿宋_GB2312" w:eastAsia="仿宋_GB2312"/>
          <w:b w:val="0"/>
          <w:bCs w:val="0"/>
          <w:sz w:val="32"/>
          <w:szCs w:val="32"/>
        </w:rPr>
        <w:t>用水定额由省人民政府有关行业主管部门提出，经同级水行政、标准化主管部门审核同意后，由省人民政府公布，并报国务院水行政、标准化主管部门备案</w:t>
      </w:r>
      <w:r>
        <w:rPr>
          <w:rFonts w:hint="eastAsia" w:ascii="仿宋_GB2312" w:eastAsia="仿宋_GB2312"/>
          <w:b w:val="0"/>
          <w:bCs w:val="0"/>
          <w:sz w:val="32"/>
          <w:szCs w:val="32"/>
          <w:lang w:eastAsia="zh-CN"/>
        </w:rPr>
        <w:t>。</w:t>
      </w:r>
      <w:r>
        <w:rPr>
          <w:rFonts w:hint="eastAsia" w:ascii="仿宋_GB2312" w:eastAsia="仿宋_GB2312" w:cs="仿宋_GB2312"/>
          <w:b w:val="0"/>
          <w:bCs w:val="0"/>
          <w:color w:val="000000"/>
          <w:spacing w:val="0"/>
          <w:w w:val="100"/>
          <w:sz w:val="32"/>
          <w:szCs w:val="32"/>
          <w:lang w:val="en-US" w:eastAsia="zh-CN" w:bidi="ar-SA"/>
        </w:rPr>
        <w:t>”第二款中的“行业用水定额”修改为“本省用水定额”。</w:t>
      </w:r>
    </w:p>
    <w:p>
      <w:pPr>
        <w:widowControl w:val="0"/>
        <w:wordWrap/>
        <w:overflowPunct w:val="0"/>
        <w:adjustRightInd/>
        <w:snapToGrid/>
        <w:spacing w:line="578" w:lineRule="exact"/>
        <w:ind w:left="0" w:leftChars="0" w:right="0" w:firstLine="640" w:firstLineChars="200"/>
        <w:jc w:val="both"/>
        <w:textAlignment w:val="auto"/>
        <w:outlineLvl w:val="9"/>
        <w:rPr>
          <w:rFonts w:hint="eastAsia" w:ascii="仿宋_GB2312" w:eastAsia="仿宋_GB2312" w:cs="仿宋_GB2312"/>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（三）第十五条第一款中的“</w:t>
      </w:r>
      <w:r>
        <w:rPr>
          <w:rFonts w:hint="eastAsia" w:ascii="仿宋_GB2312" w:hAnsi="Times New Roman" w:eastAsia="仿宋_GB2312" w:cs="Times New Roman"/>
          <w:b w:val="0"/>
          <w:bCs w:val="0"/>
          <w:kern w:val="2"/>
          <w:sz w:val="32"/>
          <w:szCs w:val="32"/>
          <w:lang w:val="en-US" w:eastAsia="zh-CN" w:bidi="ar-SA"/>
        </w:rPr>
        <w:t>重点监控用水单位应当按照国家规定的标准和规程,每3年开展一次水平衡测试</w:t>
      </w:r>
      <w:r>
        <w:rPr>
          <w:rFonts w:hint="eastAsia" w:ascii="仿宋_GB2312" w:eastAsia="仿宋_GB2312" w:cs="仿宋_GB2312"/>
          <w:color w:val="000000"/>
          <w:spacing w:val="0"/>
          <w:w w:val="100"/>
          <w:sz w:val="32"/>
          <w:szCs w:val="32"/>
          <w:lang w:val="en-US" w:eastAsia="zh-CN" w:bidi="ar-SA"/>
        </w:rPr>
        <w:t>”修改为“</w:t>
      </w:r>
      <w:r>
        <w:rPr>
          <w:rFonts w:hint="eastAsia" w:ascii="仿宋_GB2312" w:hAnsi="Times New Roman" w:eastAsia="仿宋_GB2312" w:cs="Times New Roman"/>
          <w:b w:val="0"/>
          <w:bCs w:val="0"/>
          <w:kern w:val="2"/>
          <w:sz w:val="32"/>
          <w:szCs w:val="32"/>
          <w:lang w:val="en-US" w:eastAsia="zh-CN" w:bidi="ar-SA"/>
        </w:rPr>
        <w:t>重点监控用水单位应当按照国家规定的标准和规程,开展水平衡测试</w:t>
      </w:r>
      <w:r>
        <w:rPr>
          <w:rFonts w:hint="eastAsia" w:ascii="仿宋_GB2312" w:eastAsia="仿宋_GB2312" w:cs="仿宋_GB2312"/>
          <w:color w:val="000000"/>
          <w:spacing w:val="0"/>
          <w:w w:val="100"/>
          <w:sz w:val="32"/>
          <w:szCs w:val="32"/>
          <w:lang w:val="en-US" w:eastAsia="zh-CN" w:bidi="ar-SA"/>
        </w:rPr>
        <w:t>”。删除第二款：</w:t>
      </w:r>
      <w:r>
        <w:rPr>
          <w:rFonts w:hint="eastAsia" w:ascii="仿宋_GB2312" w:hAnsi="Times New Roman" w:eastAsia="仿宋_GB2312" w:cs="Times New Roman"/>
          <w:b w:val="0"/>
          <w:bCs w:val="0"/>
          <w:kern w:val="2"/>
          <w:sz w:val="32"/>
          <w:szCs w:val="32"/>
          <w:lang w:val="en-US" w:eastAsia="zh-CN" w:bidi="ar-SA"/>
        </w:rPr>
        <w:t>“用水单位实际年用水量超过其年用水量30%的,应当进行水平衡测试</w:t>
      </w:r>
      <w:r>
        <w:rPr>
          <w:rFonts w:hint="eastAsia" w:ascii="仿宋_GB2312" w:hAnsi="宋体" w:eastAsia="仿宋_GB2312" w:cs="仿宋_GB2312"/>
          <w:i w:val="0"/>
          <w:iCs w:val="0"/>
          <w:caps w:val="0"/>
          <w:color w:val="000000"/>
          <w:spacing w:val="0"/>
          <w:kern w:val="0"/>
          <w:sz w:val="28"/>
          <w:szCs w:val="28"/>
          <w:lang w:val="en-US" w:eastAsia="zh-CN" w:bidi="ar-SA"/>
        </w:rPr>
        <w:t>。</w:t>
      </w:r>
      <w:r>
        <w:rPr>
          <w:rFonts w:hint="eastAsia" w:ascii="仿宋_GB2312" w:eastAsia="仿宋_GB2312" w:cs="仿宋_GB2312"/>
          <w:color w:val="000000"/>
          <w:spacing w:val="0"/>
          <w:w w:val="100"/>
          <w:sz w:val="32"/>
          <w:szCs w:val="32"/>
          <w:lang w:val="en-US" w:eastAsia="zh-CN" w:bidi="ar-SA"/>
        </w:rPr>
        <w:t>”</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eastAsia="仿宋_GB2312" w:cs="仿宋_GB2312"/>
          <w:b w:val="0"/>
          <w:bCs w:val="0"/>
          <w:dstrike w:val="0"/>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（四）第二十三条第二款中的</w:t>
      </w:r>
      <w:r>
        <w:rPr>
          <w:rFonts w:hint="eastAsia" w:ascii="仿宋_GB2312" w:eastAsia="仿宋_GB2312" w:cs="仿宋_GB2312"/>
          <w:b w:val="0"/>
          <w:bCs w:val="0"/>
          <w:dstrike w:val="0"/>
          <w:color w:val="000000"/>
          <w:spacing w:val="0"/>
          <w:w w:val="100"/>
          <w:sz w:val="32"/>
          <w:szCs w:val="32"/>
          <w:lang w:val="en-US" w:eastAsia="zh-CN" w:bidi="ar-SA"/>
        </w:rPr>
        <w:t>“</w:t>
      </w:r>
      <w:r>
        <w:rPr>
          <w:rFonts w:hint="eastAsia" w:ascii="仿宋_GB2312" w:hAnsi="Times New Roman" w:eastAsia="仿宋_GB2312" w:cs="仿宋_GB2312"/>
          <w:b w:val="0"/>
          <w:bCs w:val="0"/>
          <w:i w:val="0"/>
          <w:iCs w:val="0"/>
          <w:caps w:val="0"/>
          <w:strike w:val="0"/>
          <w:dstrike w:val="0"/>
          <w:color w:val="000000"/>
          <w:spacing w:val="0"/>
          <w:sz w:val="32"/>
          <w:szCs w:val="32"/>
        </w:rPr>
        <w:t>城市园林绿化、环境卫生等市政用水应当使用再生水，建筑施工用水应当优先使用再生水</w:t>
      </w:r>
      <w:r>
        <w:rPr>
          <w:rFonts w:hint="eastAsia" w:ascii="仿宋_GB2312" w:eastAsia="仿宋_GB2312" w:cs="仿宋_GB2312"/>
          <w:b w:val="0"/>
          <w:bCs w:val="0"/>
          <w:dstrike w:val="0"/>
          <w:color w:val="000000"/>
          <w:spacing w:val="0"/>
          <w:w w:val="100"/>
          <w:sz w:val="32"/>
          <w:szCs w:val="32"/>
          <w:lang w:val="en-US" w:eastAsia="zh-CN" w:bidi="ar-SA"/>
        </w:rPr>
        <w:t>”修改为“</w:t>
      </w:r>
      <w:r>
        <w:rPr>
          <w:rFonts w:hint="eastAsia" w:ascii="仿宋_GB2312" w:eastAsia="仿宋_GB2312"/>
          <w:b w:val="0"/>
          <w:bCs w:val="0"/>
          <w:dstrike w:val="0"/>
          <w:sz w:val="32"/>
          <w:szCs w:val="32"/>
        </w:rPr>
        <w:t>城市绿化、道路清扫、车辆冲洗、建筑施工以及生态景观等用水，应当优先使用符合标准要求的再生水</w:t>
      </w:r>
      <w:r>
        <w:rPr>
          <w:rFonts w:hint="eastAsia" w:ascii="仿宋_GB2312" w:eastAsia="仿宋_GB2312" w:cs="仿宋_GB2312"/>
          <w:b w:val="0"/>
          <w:bCs w:val="0"/>
          <w:dstrike w:val="0"/>
          <w:color w:val="000000"/>
          <w:spacing w:val="0"/>
          <w:w w:val="100"/>
          <w:sz w:val="32"/>
          <w:szCs w:val="32"/>
          <w:lang w:val="en-US" w:eastAsia="zh-CN" w:bidi="ar-SA"/>
        </w:rPr>
        <w:t>”</w:t>
      </w:r>
      <w:r>
        <w:rPr>
          <w:rFonts w:hint="eastAsia" w:ascii="仿宋_GB2312" w:eastAsia="仿宋_GB2312"/>
          <w:b w:val="0"/>
          <w:bCs w:val="0"/>
          <w:dstrike w:val="0"/>
          <w:sz w:val="32"/>
          <w:szCs w:val="32"/>
        </w:rPr>
        <w:t>。</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eastAsia="仿宋_GB2312" w:cs="仿宋_GB2312"/>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（五）删除</w:t>
      </w:r>
      <w:r>
        <w:rPr>
          <w:rFonts w:hint="eastAsia" w:ascii="仿宋_GB2312" w:hAnsi="Times New Roman" w:eastAsia="仿宋_GB2312" w:cs="Times New Roman"/>
          <w:b w:val="0"/>
          <w:bCs w:val="0"/>
          <w:dstrike w:val="0"/>
          <w:sz w:val="32"/>
          <w:szCs w:val="32"/>
          <w:lang w:val="en-US" w:eastAsia="zh-CN"/>
        </w:rPr>
        <w:t>第三十五条：“违反本条例第十五条第一款、第二款规定,用水单位未按规定开展水平衡测试的,由县级以上人民政府水行政主管部门责令限期改正;逾期未改正的,处以5万元以上10万元以下罚款。</w:t>
      </w:r>
      <w:r>
        <w:rPr>
          <w:rFonts w:hint="eastAsia" w:ascii="仿宋_GB2312" w:hAnsi="宋体" w:eastAsia="仿宋_GB2312" w:cs="仿宋_GB2312"/>
          <w:i w:val="0"/>
          <w:iCs w:val="0"/>
          <w:caps w:val="0"/>
          <w:color w:val="000000"/>
          <w:spacing w:val="0"/>
          <w:kern w:val="0"/>
          <w:sz w:val="28"/>
          <w:szCs w:val="28"/>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color w:val="000000"/>
          <w:spacing w:val="0"/>
          <w:w w:val="100"/>
          <w:sz w:val="32"/>
          <w:szCs w:val="32"/>
          <w:lang w:val="en-US" w:eastAsia="zh-CN" w:bidi="ar-SA"/>
        </w:rPr>
      </w:pPr>
      <w:r>
        <w:rPr>
          <w:rFonts w:hint="eastAsia" w:ascii="黑体" w:eastAsia="黑体" w:cs="黑体"/>
          <w:color w:val="000000"/>
          <w:spacing w:val="0"/>
          <w:w w:val="100"/>
          <w:sz w:val="32"/>
          <w:szCs w:val="32"/>
          <w:lang w:eastAsia="zh-CN" w:bidi="ar-SA"/>
        </w:rPr>
        <w:t>九</w:t>
      </w:r>
      <w:r>
        <w:rPr>
          <w:rFonts w:hint="eastAsia" w:ascii="黑体" w:eastAsia="黑体" w:cs="黑体"/>
          <w:color w:val="000000"/>
          <w:spacing w:val="0"/>
          <w:w w:val="100"/>
          <w:sz w:val="32"/>
          <w:szCs w:val="32"/>
          <w:lang w:bidi="ar-SA"/>
        </w:rPr>
        <w:t>、对《贵州省农作物种子条例》作出修改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hAnsi="Times New Roman" w:eastAsia="仿宋_GB2312" w:cs="仿宋_GB2312"/>
          <w:i w:val="0"/>
          <w:iCs w:val="0"/>
          <w:caps w:val="0"/>
          <w:color w:val="000000"/>
          <w:spacing w:val="0"/>
          <w:sz w:val="32"/>
          <w:szCs w:val="32"/>
          <w:lang w:eastAsia="zh-CN"/>
        </w:rPr>
      </w:pPr>
      <w:r>
        <w:rPr>
          <w:rFonts w:hint="eastAsia" w:ascii="仿宋_GB2312" w:hAnsi="Times New Roman" w:eastAsia="仿宋_GB2312" w:cs="仿宋_GB2312"/>
          <w:i w:val="0"/>
          <w:iCs w:val="0"/>
          <w:caps w:val="0"/>
          <w:color w:val="000000"/>
          <w:spacing w:val="0"/>
          <w:sz w:val="32"/>
          <w:szCs w:val="32"/>
          <w:lang w:eastAsia="zh-CN"/>
        </w:rPr>
        <w:t>第四十四条修改为：“</w:t>
      </w:r>
      <w:r>
        <w:rPr>
          <w:rFonts w:hint="eastAsia" w:ascii="仿宋_GB2312" w:hAnsi="Times New Roman" w:eastAsia="仿宋_GB2312" w:cs="仿宋_GB2312"/>
          <w:i w:val="0"/>
          <w:iCs w:val="0"/>
          <w:caps w:val="0"/>
          <w:color w:val="000000"/>
          <w:spacing w:val="0"/>
          <w:sz w:val="32"/>
          <w:szCs w:val="32"/>
        </w:rPr>
        <w:t>县级以上人民政府应当支持种业企业整合育种力量和资源，促进技术、人才、资源、设备、资金等要素向企业集聚，在规划选址、用地保障等方面给予政策支持；对国家制种大县、区域性良种繁育基地</w:t>
      </w:r>
      <w:r>
        <w:rPr>
          <w:rFonts w:hint="eastAsia" w:ascii="仿宋_GB2312" w:hAnsi="Times New Roman" w:eastAsia="仿宋_GB2312" w:cs="仿宋_GB2312"/>
          <w:i w:val="0"/>
          <w:iCs w:val="0"/>
          <w:caps w:val="0"/>
          <w:color w:val="000000"/>
          <w:spacing w:val="0"/>
          <w:sz w:val="32"/>
          <w:szCs w:val="32"/>
          <w:lang w:eastAsia="zh-CN"/>
        </w:rPr>
        <w:t>给予扶持。”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eastAsia="黑体" w:cs="黑体"/>
          <w:color w:val="000000"/>
          <w:spacing w:val="0"/>
          <w:w w:val="100"/>
          <w:sz w:val="32"/>
          <w:szCs w:val="32"/>
          <w:lang w:bidi="ar-SA"/>
        </w:rPr>
      </w:pPr>
      <w:r>
        <w:rPr>
          <w:rFonts w:hint="eastAsia" w:ascii="黑体" w:eastAsia="黑体" w:cs="黑体"/>
          <w:color w:val="000000"/>
          <w:spacing w:val="0"/>
          <w:w w:val="100"/>
          <w:sz w:val="32"/>
          <w:szCs w:val="32"/>
          <w:lang w:eastAsia="zh-CN" w:bidi="ar-SA"/>
        </w:rPr>
        <w:t>十</w:t>
      </w:r>
      <w:r>
        <w:rPr>
          <w:rFonts w:hint="eastAsia" w:ascii="黑体" w:eastAsia="黑体" w:cs="黑体"/>
          <w:color w:val="000000"/>
          <w:spacing w:val="0"/>
          <w:w w:val="100"/>
          <w:sz w:val="32"/>
          <w:szCs w:val="32"/>
          <w:lang w:bidi="ar-SA"/>
        </w:rPr>
        <w:t>、对《贵州省茶产业发展条例》作出修改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仿宋_GB2312" w:hAnsi="仿宋_GB2312" w:eastAsia="仿宋_GB2312" w:cs="仿宋_GB2312"/>
          <w:b w:val="0"/>
          <w:bCs w:val="0"/>
          <w:color w:val="000000"/>
          <w:spacing w:val="0"/>
          <w:w w:val="100"/>
          <w:sz w:val="32"/>
          <w:szCs w:val="32"/>
          <w:lang w:val="en-US" w:eastAsia="zh-CN" w:bidi="ar-SA"/>
        </w:rPr>
      </w:pPr>
      <w:r>
        <w:rPr>
          <w:rFonts w:hint="eastAsia" w:ascii="仿宋_GB2312" w:hAnsi="仿宋_GB2312" w:eastAsia="仿宋_GB2312" w:cs="仿宋_GB2312"/>
          <w:b w:val="0"/>
          <w:bCs w:val="0"/>
          <w:color w:val="000000"/>
          <w:spacing w:val="0"/>
          <w:w w:val="100"/>
          <w:sz w:val="32"/>
          <w:szCs w:val="32"/>
          <w:lang w:val="en-US" w:eastAsia="zh-CN" w:bidi="ar-SA"/>
        </w:rPr>
        <w:t>（一）第十四条第一款中的</w:t>
      </w:r>
      <w:r>
        <w:rPr>
          <w:rFonts w:hint="eastAsia" w:ascii="仿宋_GB2312" w:hAnsi="仿宋_GB2312" w:eastAsia="仿宋_GB2312" w:cs="仿宋_GB2312"/>
          <w:b w:val="0"/>
          <w:bCs w:val="0"/>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lang w:eastAsia="zh-CN"/>
        </w:rPr>
        <w:t>茶树种植企业、农民专业合作经济组织应当建立茶树种植生产记录档案</w:t>
      </w:r>
      <w:r>
        <w:rPr>
          <w:rFonts w:hint="eastAsia" w:ascii="仿宋_GB2312" w:hAnsi="仿宋_GB2312" w:eastAsia="仿宋_GB2312" w:cs="仿宋_GB2312"/>
          <w:b w:val="0"/>
          <w:bCs w:val="0"/>
          <w:i w:val="0"/>
          <w:iCs w:val="0"/>
          <w:caps w:val="0"/>
          <w:color w:val="000000"/>
          <w:spacing w:val="0"/>
          <w:sz w:val="32"/>
          <w:szCs w:val="32"/>
          <w:lang w:val="en-US" w:eastAsia="zh-CN"/>
        </w:rPr>
        <w:t>”修改为“</w:t>
      </w:r>
      <w:r>
        <w:rPr>
          <w:rFonts w:hint="eastAsia" w:ascii="仿宋_GB2312" w:hAnsi="仿宋_GB2312" w:eastAsia="仿宋_GB2312" w:cs="仿宋_GB2312"/>
          <w:b w:val="0"/>
          <w:bCs w:val="0"/>
          <w:i w:val="0"/>
          <w:iCs w:val="0"/>
          <w:caps w:val="0"/>
          <w:color w:val="000000"/>
          <w:spacing w:val="0"/>
          <w:sz w:val="32"/>
          <w:szCs w:val="32"/>
          <w:lang w:eastAsia="zh-CN"/>
        </w:rPr>
        <w:t>茶树种植企业、农民专业合作经济组织</w:t>
      </w:r>
      <w:r>
        <w:rPr>
          <w:rFonts w:hint="eastAsia" w:ascii="仿宋_GB2312" w:hAnsi="Times New Roman" w:eastAsia="仿宋_GB2312" w:cs="仿宋_GB2312"/>
          <w:i w:val="0"/>
          <w:iCs w:val="0"/>
          <w:caps w:val="0"/>
          <w:color w:val="000000"/>
          <w:spacing w:val="0"/>
          <w:sz w:val="28"/>
          <w:szCs w:val="28"/>
          <w:lang w:eastAsia="zh-CN"/>
        </w:rPr>
        <w:t>、</w:t>
      </w:r>
      <w:r>
        <w:rPr>
          <w:rFonts w:hint="eastAsia" w:ascii="仿宋_GB2312" w:hAnsi="仿宋_GB2312" w:eastAsia="仿宋_GB2312" w:cs="仿宋_GB2312"/>
          <w:b w:val="0"/>
          <w:bCs w:val="0"/>
          <w:i w:val="0"/>
          <w:iCs w:val="0"/>
          <w:caps w:val="0"/>
          <w:color w:val="000000"/>
          <w:spacing w:val="0"/>
          <w:sz w:val="32"/>
          <w:szCs w:val="32"/>
          <w:lang w:eastAsia="zh-CN"/>
        </w:rPr>
        <w:t>农业社会化服务组织应当建立茶树种植生产记录档案</w:t>
      </w:r>
      <w:r>
        <w:rPr>
          <w:rFonts w:hint="eastAsia" w:ascii="仿宋_GB2312" w:hAnsi="仿宋_GB2312" w:eastAsia="仿宋_GB2312" w:cs="仿宋_GB2312"/>
          <w:b w:val="0"/>
          <w:bCs w:val="0"/>
          <w:color w:val="000000"/>
          <w:spacing w:val="0"/>
          <w:w w:val="100"/>
          <w:sz w:val="32"/>
          <w:szCs w:val="32"/>
          <w:lang w:val="en-US" w:eastAsia="zh-CN" w:bidi="ar-SA"/>
        </w:rPr>
        <w:t>”。第二款修改为：“茶树种植生产记录应当至少保存二年。禁止伪造、变造茶树种植生产记录。”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_GB2312" w:eastAsia="仿宋_GB2312" w:cs="仿宋_GB2312"/>
          <w:b w:val="0"/>
          <w:bCs w:val="0"/>
          <w:color w:val="000000"/>
          <w:spacing w:val="0"/>
          <w:w w:val="100"/>
          <w:sz w:val="32"/>
          <w:szCs w:val="32"/>
          <w:lang w:val="en-US" w:eastAsia="zh-CN" w:bidi="ar-SA"/>
        </w:rPr>
      </w:pPr>
      <w:r>
        <w:rPr>
          <w:rFonts w:hint="eastAsia" w:ascii="仿宋_GB2312" w:hAnsi="仿宋_GB2312" w:eastAsia="仿宋_GB2312" w:cs="仿宋_GB2312"/>
          <w:b w:val="0"/>
          <w:bCs w:val="0"/>
          <w:color w:val="000000"/>
          <w:spacing w:val="0"/>
          <w:w w:val="100"/>
          <w:sz w:val="32"/>
          <w:szCs w:val="32"/>
          <w:lang w:val="en-US" w:eastAsia="zh-CN" w:bidi="ar-SA"/>
        </w:rPr>
        <w:t>（二）第二十五条第一款中的“</w:t>
      </w:r>
      <w:r>
        <w:rPr>
          <w:rFonts w:hint="eastAsia" w:ascii="仿宋_GB2312" w:hAnsi="Times New Roman" w:eastAsia="仿宋_GB2312" w:cs="仿宋_GB2312"/>
          <w:b w:val="0"/>
          <w:bCs w:val="0"/>
          <w:i w:val="0"/>
          <w:iCs w:val="0"/>
          <w:caps w:val="0"/>
          <w:color w:val="000000"/>
          <w:spacing w:val="0"/>
          <w:sz w:val="32"/>
          <w:szCs w:val="32"/>
        </w:rPr>
        <w:t>建立茶叶加工记录档案</w:t>
      </w:r>
      <w:r>
        <w:rPr>
          <w:rFonts w:hint="eastAsia" w:ascii="仿宋_GB2312" w:hAnsi="仿宋_GB2312" w:eastAsia="仿宋_GB2312" w:cs="仿宋_GB2312"/>
          <w:b w:val="0"/>
          <w:bCs w:val="0"/>
          <w:color w:val="000000"/>
          <w:spacing w:val="0"/>
          <w:w w:val="100"/>
          <w:sz w:val="32"/>
          <w:szCs w:val="32"/>
          <w:lang w:val="en-US" w:eastAsia="zh-CN" w:bidi="ar-SA"/>
        </w:rPr>
        <w:t>”修改为“</w:t>
      </w:r>
      <w:r>
        <w:rPr>
          <w:rFonts w:hint="eastAsia" w:ascii="仿宋_GB2312" w:hAnsi="Times New Roman" w:eastAsia="仿宋_GB2312" w:cs="仿宋_GB2312"/>
          <w:b w:val="0"/>
          <w:bCs w:val="0"/>
          <w:i w:val="0"/>
          <w:iCs w:val="0"/>
          <w:caps w:val="0"/>
          <w:color w:val="000000"/>
          <w:spacing w:val="0"/>
          <w:sz w:val="32"/>
          <w:szCs w:val="32"/>
        </w:rPr>
        <w:t>建立茶叶加工</w:t>
      </w:r>
      <w:r>
        <w:rPr>
          <w:rFonts w:hint="eastAsia" w:ascii="仿宋_GB2312" w:hAnsi="Times New Roman" w:eastAsia="仿宋_GB2312" w:cs="仿宋_GB2312"/>
          <w:b w:val="0"/>
          <w:bCs w:val="0"/>
          <w:i w:val="0"/>
          <w:iCs w:val="0"/>
          <w:caps w:val="0"/>
          <w:color w:val="000000"/>
          <w:spacing w:val="0"/>
          <w:sz w:val="32"/>
          <w:szCs w:val="32"/>
          <w:lang w:eastAsia="zh-CN"/>
        </w:rPr>
        <w:t>生产</w:t>
      </w:r>
      <w:r>
        <w:rPr>
          <w:rFonts w:hint="eastAsia" w:ascii="仿宋_GB2312" w:hAnsi="Times New Roman" w:eastAsia="仿宋_GB2312" w:cs="仿宋_GB2312"/>
          <w:b w:val="0"/>
          <w:bCs w:val="0"/>
          <w:i w:val="0"/>
          <w:iCs w:val="0"/>
          <w:caps w:val="0"/>
          <w:color w:val="000000"/>
          <w:spacing w:val="0"/>
          <w:sz w:val="32"/>
          <w:szCs w:val="32"/>
        </w:rPr>
        <w:t>记录档案</w:t>
      </w:r>
      <w:r>
        <w:rPr>
          <w:rFonts w:hint="eastAsia" w:ascii="仿宋_GB2312" w:hAnsi="仿宋_GB2312" w:eastAsia="仿宋_GB2312" w:cs="仿宋_GB2312"/>
          <w:b w:val="0"/>
          <w:bCs w:val="0"/>
          <w:color w:val="000000"/>
          <w:spacing w:val="0"/>
          <w:w w:val="100"/>
          <w:sz w:val="32"/>
          <w:szCs w:val="32"/>
          <w:lang w:val="en-US" w:eastAsia="zh-CN" w:bidi="ar-SA"/>
        </w:rPr>
        <w:t>”。第二款修改为：“</w:t>
      </w:r>
      <w:r>
        <w:rPr>
          <w:rFonts w:hint="eastAsia" w:ascii="仿宋_GB2312" w:hAnsi="Times New Roman" w:eastAsia="仿宋_GB2312" w:cs="仿宋_GB2312"/>
          <w:b w:val="0"/>
          <w:bCs w:val="0"/>
          <w:i w:val="0"/>
          <w:iCs w:val="0"/>
          <w:caps w:val="0"/>
          <w:color w:val="000000"/>
          <w:spacing w:val="0"/>
          <w:sz w:val="32"/>
          <w:szCs w:val="32"/>
        </w:rPr>
        <w:t>茶叶加工</w:t>
      </w:r>
      <w:r>
        <w:rPr>
          <w:rFonts w:hint="eastAsia" w:ascii="仿宋_GB2312" w:hAnsi="Times New Roman" w:eastAsia="仿宋_GB2312" w:cs="仿宋_GB2312"/>
          <w:b w:val="0"/>
          <w:bCs w:val="0"/>
          <w:i w:val="0"/>
          <w:iCs w:val="0"/>
          <w:caps w:val="0"/>
          <w:color w:val="000000"/>
          <w:spacing w:val="0"/>
          <w:sz w:val="32"/>
          <w:szCs w:val="32"/>
          <w:lang w:eastAsia="zh-CN"/>
        </w:rPr>
        <w:t>生产</w:t>
      </w:r>
      <w:r>
        <w:rPr>
          <w:rFonts w:hint="eastAsia" w:ascii="仿宋_GB2312" w:hAnsi="Times New Roman" w:eastAsia="仿宋_GB2312" w:cs="仿宋_GB2312"/>
          <w:b w:val="0"/>
          <w:bCs w:val="0"/>
          <w:i w:val="0"/>
          <w:iCs w:val="0"/>
          <w:caps w:val="0"/>
          <w:color w:val="000000"/>
          <w:spacing w:val="0"/>
          <w:sz w:val="32"/>
          <w:szCs w:val="32"/>
        </w:rPr>
        <w:t>记录和凭证保存期限不得少于茶产品保质期满后</w:t>
      </w:r>
      <w:r>
        <w:rPr>
          <w:rFonts w:hint="eastAsia" w:ascii="仿宋_GB2312" w:hAnsi="Times New Roman" w:eastAsia="仿宋_GB2312" w:cs="仿宋_GB2312"/>
          <w:b w:val="0"/>
          <w:bCs w:val="0"/>
          <w:i w:val="0"/>
          <w:iCs w:val="0"/>
          <w:caps w:val="0"/>
          <w:strike w:val="0"/>
          <w:dstrike w:val="0"/>
          <w:color w:val="000000"/>
          <w:spacing w:val="0"/>
          <w:sz w:val="32"/>
          <w:szCs w:val="32"/>
          <w:lang w:eastAsia="zh-CN"/>
        </w:rPr>
        <w:t>六个月</w:t>
      </w:r>
      <w:r>
        <w:rPr>
          <w:rFonts w:hint="eastAsia" w:ascii="仿宋_GB2312" w:hAnsi="Times New Roman" w:eastAsia="仿宋_GB2312" w:cs="仿宋_GB2312"/>
          <w:b w:val="0"/>
          <w:bCs w:val="0"/>
          <w:i w:val="0"/>
          <w:iCs w:val="0"/>
          <w:caps w:val="0"/>
          <w:color w:val="000000"/>
          <w:spacing w:val="0"/>
          <w:sz w:val="32"/>
          <w:szCs w:val="32"/>
        </w:rPr>
        <w:t>。禁止伪造</w:t>
      </w:r>
      <w:r>
        <w:rPr>
          <w:rFonts w:hint="eastAsia" w:ascii="仿宋_GB2312" w:eastAsia="仿宋_GB2312"/>
          <w:b w:val="0"/>
          <w:bCs w:val="0"/>
          <w:sz w:val="32"/>
          <w:szCs w:val="32"/>
        </w:rPr>
        <w:t>、变造</w:t>
      </w:r>
      <w:r>
        <w:rPr>
          <w:rFonts w:hint="eastAsia" w:ascii="仿宋_GB2312" w:hAnsi="Times New Roman" w:eastAsia="仿宋_GB2312" w:cs="仿宋_GB2312"/>
          <w:b w:val="0"/>
          <w:bCs w:val="0"/>
          <w:i w:val="0"/>
          <w:iCs w:val="0"/>
          <w:caps w:val="0"/>
          <w:color w:val="000000"/>
          <w:spacing w:val="0"/>
          <w:sz w:val="32"/>
          <w:szCs w:val="32"/>
        </w:rPr>
        <w:t>茶叶加工</w:t>
      </w:r>
      <w:r>
        <w:rPr>
          <w:rFonts w:hint="eastAsia" w:ascii="仿宋_GB2312" w:hAnsi="Times New Roman" w:eastAsia="仿宋_GB2312" w:cs="仿宋_GB2312"/>
          <w:b w:val="0"/>
          <w:bCs w:val="0"/>
          <w:i w:val="0"/>
          <w:iCs w:val="0"/>
          <w:caps w:val="0"/>
          <w:color w:val="000000"/>
          <w:spacing w:val="0"/>
          <w:sz w:val="32"/>
          <w:szCs w:val="32"/>
          <w:lang w:eastAsia="zh-CN"/>
        </w:rPr>
        <w:t>生产</w:t>
      </w:r>
      <w:r>
        <w:rPr>
          <w:rFonts w:hint="eastAsia" w:ascii="仿宋_GB2312" w:hAnsi="Times New Roman" w:eastAsia="仿宋_GB2312" w:cs="仿宋_GB2312"/>
          <w:b w:val="0"/>
          <w:bCs w:val="0"/>
          <w:i w:val="0"/>
          <w:iCs w:val="0"/>
          <w:caps w:val="0"/>
          <w:color w:val="000000"/>
          <w:spacing w:val="0"/>
          <w:sz w:val="32"/>
          <w:szCs w:val="32"/>
        </w:rPr>
        <w:t>记录。</w:t>
      </w:r>
      <w:r>
        <w:rPr>
          <w:rFonts w:hint="eastAsia" w:ascii="仿宋_GB2312" w:hAnsi="仿宋_GB2312" w:eastAsia="仿宋_GB2312" w:cs="仿宋_GB2312"/>
          <w:b w:val="0"/>
          <w:bCs w:val="0"/>
          <w:color w:val="000000"/>
          <w:spacing w:val="0"/>
          <w:w w:val="1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0" w:lineRule="atLeast"/>
        <w:ind w:firstLine="640" w:firstLineChars="200"/>
        <w:jc w:val="left"/>
        <w:textAlignment w:val="auto"/>
        <w:rPr>
          <w:rFonts w:hint="eastAsia" w:ascii="仿宋_GB2312" w:hAnsi="仿宋_GB2312" w:eastAsia="仿宋_GB2312" w:cs="仿宋_GB2312"/>
          <w:b w:val="0"/>
          <w:bCs w:val="0"/>
          <w:i w:val="0"/>
          <w:iCs w:val="0"/>
          <w:cap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w w:val="100"/>
          <w:sz w:val="32"/>
          <w:szCs w:val="32"/>
          <w:lang w:val="en-US" w:eastAsia="zh-CN" w:bidi="ar-SA"/>
        </w:rPr>
        <w:t>（三）第五十五条修改为：“</w:t>
      </w:r>
      <w:r>
        <w:rPr>
          <w:rFonts w:hint="eastAsia" w:ascii="仿宋_GB2312" w:hAnsi="仿宋_GB2312" w:eastAsia="仿宋_GB2312" w:cs="仿宋_GB2312"/>
          <w:b w:val="0"/>
          <w:bCs w:val="0"/>
          <w:i w:val="0"/>
          <w:iCs w:val="0"/>
          <w:caps w:val="0"/>
          <w:color w:val="000000"/>
          <w:spacing w:val="0"/>
          <w:kern w:val="2"/>
          <w:sz w:val="32"/>
          <w:szCs w:val="32"/>
          <w:lang w:val="en-US" w:eastAsia="zh-CN" w:bidi="ar-SA"/>
        </w:rPr>
        <w:t>违反本条例第十四条规定，茶树种植企业、农民专业合作经济组织、农业社会化服务组织未建立或者未按照规定保存生产记录的，或者伪造、变造生产记录的，由县级人民政府农业农村行政主管部门责令限期改正；逾期不改正的，处以二千元以上二万元以下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32"/>
        <w:jc w:val="both"/>
        <w:textAlignment w:val="auto"/>
        <w:rPr>
          <w:rFonts w:hint="eastAsia" w:ascii="仿宋_GB2312" w:hAnsi="仿宋_GB2312" w:eastAsia="仿宋_GB2312" w:cs="仿宋_GB2312"/>
          <w:b w:val="0"/>
          <w:bCs w:val="0"/>
          <w:color w:val="000000"/>
          <w:spacing w:val="0"/>
          <w:w w:val="100"/>
          <w:sz w:val="32"/>
          <w:szCs w:val="32"/>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lang w:val="en-US" w:eastAsia="zh-CN" w:bidi="ar-SA"/>
        </w:rPr>
        <w:t>“违反本条例第二十五条规定，茶叶加工者未建立或者未按照规定保存加工生产记录的，或者伪造、变造加工生产记录的，由县级人民政府市场监督管理行政主管部门责令限期改正；逾期不改正的，处以二千元以上二万元以下罚款。</w:t>
      </w:r>
      <w:r>
        <w:rPr>
          <w:rFonts w:hint="eastAsia" w:ascii="仿宋_GB2312" w:hAnsi="仿宋_GB2312" w:eastAsia="仿宋_GB2312" w:cs="仿宋_GB2312"/>
          <w:b w:val="0"/>
          <w:bCs w:val="0"/>
          <w:color w:val="000000"/>
          <w:spacing w:val="0"/>
          <w:w w:val="100"/>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eastAsia="黑体" w:cs="黑体"/>
          <w:color w:val="000000"/>
          <w:spacing w:val="0"/>
          <w:w w:val="100"/>
          <w:sz w:val="32"/>
          <w:szCs w:val="32"/>
          <w:lang w:val="en-US" w:eastAsia="zh-CN" w:bidi="ar-SA"/>
        </w:rPr>
      </w:pPr>
      <w:r>
        <w:rPr>
          <w:rFonts w:hint="eastAsia" w:ascii="黑体" w:eastAsia="黑体" w:cs="黑体"/>
          <w:color w:val="000000"/>
          <w:spacing w:val="0"/>
          <w:w w:val="100"/>
          <w:sz w:val="32"/>
          <w:szCs w:val="32"/>
          <w:lang w:val="en-US" w:eastAsia="zh-CN" w:bidi="ar-SA"/>
        </w:rPr>
        <w:t>十一、</w:t>
      </w:r>
      <w:r>
        <w:rPr>
          <w:rFonts w:hint="eastAsia" w:ascii="黑体" w:eastAsia="黑体" w:cs="黑体"/>
          <w:color w:val="000000"/>
          <w:spacing w:val="0"/>
          <w:w w:val="100"/>
          <w:sz w:val="32"/>
          <w:szCs w:val="32"/>
          <w:lang w:eastAsia="zh-CN" w:bidi="ar-SA"/>
        </w:rPr>
        <w:t>对《贵州省优化营商环境条例》作出修改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2"/>
        <w:jc w:val="both"/>
        <w:rPr>
          <w:rFonts w:hint="eastAsia" w:ascii="仿宋_GB2312" w:hAnsi="仿宋_GB2312" w:eastAsia="仿宋_GB2312" w:cs="仿宋_GB2312"/>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（一）第二十六条第二款</w:t>
      </w:r>
      <w:r>
        <w:rPr>
          <w:rFonts w:hint="eastAsia" w:ascii="仿宋_GB2312" w:hAnsi="仿宋_GB2312" w:eastAsia="仿宋_GB2312" w:cs="仿宋_GB2312"/>
          <w:color w:val="000000"/>
          <w:spacing w:val="0"/>
          <w:w w:val="100"/>
          <w:sz w:val="32"/>
          <w:szCs w:val="32"/>
          <w:lang w:val="en-US" w:eastAsia="zh-CN" w:bidi="ar-SA"/>
        </w:rPr>
        <w:t>修改为：“</w:t>
      </w:r>
      <w:r>
        <w:rPr>
          <w:rFonts w:hint="eastAsia" w:ascii="仿宋_GB2312" w:hAnsi="仿宋_GB2312" w:eastAsia="仿宋_GB2312" w:cs="仿宋_GB2312"/>
          <w:sz w:val="32"/>
          <w:szCs w:val="32"/>
          <w:vertAlign w:val="baseline"/>
          <w:lang w:val="en-US" w:eastAsia="zh-CN"/>
        </w:rPr>
        <w:t>建立完善综合金融服务平台，通过有效整合市场监管、海关、司法、税务、不动产登记、水电气、公积金、社会保险等涉企信用信息，为民营企业、中小微企业等市场主体提供综合金融服务。</w:t>
      </w:r>
      <w:r>
        <w:rPr>
          <w:rFonts w:hint="eastAsia" w:ascii="仿宋_GB2312" w:hAnsi="仿宋_GB2312" w:eastAsia="仿宋_GB2312" w:cs="仿宋_GB2312"/>
          <w:color w:val="000000"/>
          <w:spacing w:val="0"/>
          <w:w w:val="100"/>
          <w:sz w:val="32"/>
          <w:szCs w:val="32"/>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2"/>
        <w:jc w:val="both"/>
        <w:rPr>
          <w:rFonts w:hint="eastAsia" w:ascii="仿宋_GB2312" w:hAnsi="仿宋_GB2312" w:eastAsia="仿宋_GB2312" w:cs="仿宋_GB2312"/>
          <w:color w:val="000000"/>
          <w:spacing w:val="0"/>
          <w:w w:val="100"/>
          <w:sz w:val="32"/>
          <w:szCs w:val="32"/>
          <w:lang w:val="en-US" w:eastAsia="zh-CN" w:bidi="ar-SA"/>
        </w:rPr>
      </w:pPr>
      <w:r>
        <w:rPr>
          <w:rFonts w:hint="eastAsia" w:ascii="仿宋_GB2312" w:hAnsi="仿宋_GB2312" w:eastAsia="仿宋_GB2312" w:cs="仿宋_GB2312"/>
          <w:color w:val="000000"/>
          <w:spacing w:val="0"/>
          <w:w w:val="100"/>
          <w:sz w:val="32"/>
          <w:szCs w:val="32"/>
          <w:lang w:val="en-US" w:eastAsia="zh-CN" w:bidi="ar-SA"/>
        </w:rPr>
        <w:t>（二）第二十七条修改为：“县级以上人民政府应当发挥政府性融资担保机构增信作用，建立担保风险补偿分担机制，弱化盈利考核评价要求，引导政府性融资担保机构扩大小微企业和‘三农’担保业务规模，弱化抵（质）押物要求，降低担保费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2"/>
        <w:jc w:val="both"/>
        <w:rPr>
          <w:rFonts w:hint="eastAsia" w:ascii="仿宋_GB2312" w:hAnsi="仿宋_GB2312" w:eastAsia="仿宋_GB2312" w:cs="仿宋_GB2312"/>
          <w:color w:val="000000"/>
          <w:spacing w:val="0"/>
          <w:w w:val="100"/>
          <w:sz w:val="32"/>
          <w:szCs w:val="32"/>
          <w:lang w:val="en-US" w:eastAsia="zh-CN" w:bidi="ar-SA"/>
        </w:rPr>
      </w:pPr>
      <w:r>
        <w:rPr>
          <w:rFonts w:hint="eastAsia" w:ascii="仿宋_GB2312" w:hAnsi="仿宋_GB2312" w:eastAsia="仿宋_GB2312" w:cs="仿宋_GB2312"/>
          <w:color w:val="000000"/>
          <w:spacing w:val="0"/>
          <w:w w:val="100"/>
          <w:sz w:val="32"/>
          <w:szCs w:val="32"/>
          <w:lang w:val="en-US" w:eastAsia="zh-CN" w:bidi="ar-SA"/>
        </w:rPr>
        <w:t>“鼓励融资担保机构依法依规创新担保产品，探索扩大担保物范围，创新使用知识产权、股权、应收账款、产品订单、保单、存货、机器设备等资产进行抵（质）押。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2"/>
        <w:jc w:val="both"/>
        <w:rPr>
          <w:rFonts w:hint="eastAsia" w:ascii="仿宋_GB2312" w:hAnsi="仿宋_GB2312" w:eastAsia="仿宋_GB2312" w:cs="仿宋_GB2312"/>
          <w:color w:val="000000"/>
          <w:spacing w:val="0"/>
          <w:w w:val="100"/>
          <w:sz w:val="32"/>
          <w:szCs w:val="32"/>
          <w:lang w:val="en-US" w:eastAsia="zh-CN" w:bidi="ar-SA"/>
        </w:rPr>
      </w:pPr>
      <w:r>
        <w:rPr>
          <w:rFonts w:hint="eastAsia" w:ascii="仿宋_GB2312" w:hAnsi="仿宋_GB2312" w:eastAsia="仿宋_GB2312" w:cs="仿宋_GB2312"/>
          <w:sz w:val="32"/>
          <w:szCs w:val="32"/>
          <w:vertAlign w:val="baseline"/>
          <w:lang w:val="en-US" w:eastAsia="zh-CN"/>
        </w:rPr>
        <w:t>“支持区域性股权市场、小额贷款公司、融资担保公司、融资租赁公司等地方金融组织依法依规完善相关金融产品和服务。鼓励政府性融资担保、再担保机构与商业融资担保机构合作开展中小微企业融资担保业务。</w:t>
      </w:r>
      <w:r>
        <w:rPr>
          <w:rFonts w:hint="eastAsia" w:ascii="仿宋_GB2312" w:hAnsi="仿宋_GB2312" w:eastAsia="仿宋_GB2312" w:cs="仿宋_GB2312"/>
          <w:color w:val="000000"/>
          <w:spacing w:val="0"/>
          <w:w w:val="100"/>
          <w:sz w:val="32"/>
          <w:szCs w:val="32"/>
          <w:lang w:val="en-US" w:eastAsia="zh-CN" w:bidi="ar-SA"/>
        </w:rPr>
        <w:t>”</w:t>
      </w:r>
    </w:p>
    <w:p>
      <w:pPr>
        <w:pageBreakBefore w:val="0"/>
        <w:widowControl w:val="0"/>
        <w:kinsoku/>
        <w:wordWrap/>
        <w:overflowPunct w:val="0"/>
        <w:topLinePunct w:val="0"/>
        <w:autoSpaceDE/>
        <w:autoSpaceDN/>
        <w:bidi w:val="0"/>
        <w:adjustRightInd/>
        <w:snapToGrid/>
        <w:spacing w:line="600" w:lineRule="exact"/>
        <w:ind w:left="0" w:leftChars="0" w:right="0" w:firstLine="640" w:firstLineChars="200"/>
        <w:jc w:val="both"/>
        <w:textAlignment w:val="auto"/>
        <w:outlineLvl w:val="9"/>
        <w:rPr>
          <w:rFonts w:hint="eastAsia" w:ascii="仿宋_GB2312" w:eastAsia="仿宋_GB2312" w:cs="仿宋_GB2312"/>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t>本决定自    年  月  日起施行。</w:t>
      </w:r>
    </w:p>
    <w:p>
      <w:pPr>
        <w:widowControl w:val="0"/>
        <w:wordWrap/>
        <w:overflowPunct w:val="0"/>
        <w:adjustRightInd/>
        <w:snapToGrid/>
        <w:spacing w:line="578" w:lineRule="exact"/>
        <w:ind w:left="0" w:leftChars="0" w:right="0" w:firstLine="640" w:firstLineChars="200"/>
        <w:jc w:val="both"/>
        <w:textAlignment w:val="auto"/>
        <w:outlineLvl w:val="9"/>
        <w:rPr>
          <w:rFonts w:hint="eastAsia" w:ascii="仿宋_GB2312" w:eastAsia="仿宋_GB2312" w:cs="仿宋_GB2312"/>
          <w:color w:val="000000"/>
          <w:spacing w:val="0"/>
          <w:w w:val="100"/>
          <w:sz w:val="32"/>
          <w:szCs w:val="32"/>
          <w:lang w:val="en-US" w:eastAsia="zh-CN" w:bidi="ar-SA"/>
        </w:rPr>
      </w:pPr>
      <w:r>
        <w:rPr>
          <w:rFonts w:hint="eastAsia" w:ascii="仿宋_GB2312" w:eastAsia="仿宋_GB2312" w:cs="仿宋_GB2312"/>
          <w:color w:val="000000"/>
          <w:spacing w:val="0"/>
          <w:w w:val="100"/>
          <w:sz w:val="32"/>
          <w:szCs w:val="32"/>
          <w:lang w:val="en-US" w:eastAsia="zh-CN" w:bidi="ar-SA"/>
        </w:rPr>
        <w:br w:type="page"/>
      </w:r>
    </w:p>
    <w:p>
      <w:pPr>
        <w:pStyle w:val="12"/>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pacing w:val="0"/>
          <w:w w:val="100"/>
          <w:sz w:val="44"/>
          <w:szCs w:val="44"/>
          <w:lang w:val="en-US" w:eastAsia="zh-CN"/>
        </w:rPr>
      </w:pPr>
      <w:r>
        <w:rPr>
          <w:rFonts w:hint="eastAsia" w:ascii="方正小标宋_GBK" w:hAnsi="方正小标宋_GBK" w:eastAsia="方正小标宋_GBK" w:cs="方正小标宋_GBK"/>
          <w:color w:val="000000"/>
          <w:spacing w:val="0"/>
          <w:w w:val="100"/>
          <w:sz w:val="44"/>
          <w:szCs w:val="44"/>
          <w:lang w:val="en-US" w:eastAsia="zh-CN"/>
        </w:rPr>
        <w:t>条文修改对照表</w:t>
      </w:r>
    </w:p>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606"/>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79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center"/>
              <w:textAlignment w:val="auto"/>
              <w:outlineLvl w:val="9"/>
            </w:pPr>
            <w:r>
              <w:rPr>
                <w:rFonts w:hint="eastAsia" w:ascii="黑体" w:hAnsi="黑体" w:eastAsia="黑体" w:cs="黑体"/>
                <w:color w:val="000000"/>
                <w:spacing w:val="0"/>
                <w:w w:val="100"/>
                <w:sz w:val="32"/>
                <w:szCs w:val="32"/>
                <w:lang w:val="en-US" w:eastAsia="zh-CN"/>
              </w:rPr>
              <w:t>法规名称</w:t>
            </w:r>
          </w:p>
        </w:tc>
        <w:tc>
          <w:tcPr>
            <w:tcW w:w="360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center"/>
              <w:textAlignment w:val="auto"/>
              <w:outlineLvl w:val="9"/>
            </w:pPr>
            <w:r>
              <w:rPr>
                <w:rFonts w:hint="eastAsia" w:ascii="黑体" w:hAnsi="黑体" w:eastAsia="黑体" w:cs="黑体"/>
                <w:color w:val="000000"/>
                <w:spacing w:val="0"/>
                <w:w w:val="100"/>
                <w:sz w:val="32"/>
                <w:szCs w:val="32"/>
                <w:lang w:val="en-US" w:eastAsia="zh-CN"/>
              </w:rPr>
              <w:t>原条文</w:t>
            </w:r>
          </w:p>
        </w:tc>
        <w:tc>
          <w:tcPr>
            <w:tcW w:w="3658"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center"/>
              <w:textAlignment w:val="auto"/>
              <w:outlineLvl w:val="9"/>
            </w:pPr>
            <w:r>
              <w:rPr>
                <w:rFonts w:hint="eastAsia" w:ascii="黑体" w:hAnsi="黑体" w:eastAsia="黑体" w:cs="黑体"/>
                <w:color w:val="000000"/>
                <w:spacing w:val="0"/>
                <w:w w:val="100"/>
                <w:sz w:val="32"/>
                <w:szCs w:val="32"/>
                <w:lang w:val="en-US" w:eastAsia="zh-CN"/>
              </w:rPr>
              <w:t>修改条文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restart"/>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pPr>
            <w:r>
              <w:rPr>
                <w:rFonts w:hint="eastAsia" w:ascii="黑体" w:hAnsi="黑体" w:eastAsia="黑体" w:cs="黑体"/>
                <w:sz w:val="32"/>
                <w:szCs w:val="32"/>
                <w:lang w:val="en-US" w:eastAsia="zh-CN"/>
              </w:rPr>
              <w:t>《贵州省保健用品管理条例》</w:t>
            </w:r>
          </w:p>
        </w:tc>
        <w:tc>
          <w:tcPr>
            <w:tcW w:w="3606" w:type="dxa"/>
            <w:vAlign w:val="top"/>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第四条</w:t>
            </w:r>
            <w:r>
              <w:rPr>
                <w:rFonts w:hint="eastAsia" w:ascii="仿宋_GB2312" w:hAnsi="仿宋_GB2312" w:eastAsia="仿宋_GB2312" w:cs="仿宋_GB2312"/>
                <w:sz w:val="32"/>
                <w:szCs w:val="24"/>
                <w:lang w:val="en-US" w:eastAsia="zh-CN"/>
              </w:rPr>
              <w:t>　省人民政府卫生行政部门负责全省保健用品卫生监督管理、保健用品卫生许可证的审批工作。</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市、州人民政府、地区行政公署和县级人民政府卫生行政部门负责本行政区域内的保健用品卫生监督管理工作。</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仿宋_GB2312" w:hAnsi="仿宋_GB2312" w:eastAsia="仿宋_GB2312" w:cs="仿宋_GB2312"/>
                <w:sz w:val="32"/>
                <w:szCs w:val="24"/>
                <w:lang w:val="en-US" w:eastAsia="zh-CN"/>
              </w:rPr>
              <w:t>县级以上人民政府其他有关部门按照各自职责负责保健用品相关管理工作。</w:t>
            </w:r>
          </w:p>
        </w:tc>
        <w:tc>
          <w:tcPr>
            <w:tcW w:w="3658" w:type="dxa"/>
            <w:vAlign w:val="top"/>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 xml:space="preserve">第四条  </w:t>
            </w:r>
            <w:r>
              <w:rPr>
                <w:rFonts w:hint="eastAsia" w:ascii="仿宋_GB2312" w:hAnsi="仿宋_GB2312" w:eastAsia="仿宋_GB2312" w:cs="仿宋_GB2312"/>
                <w:sz w:val="32"/>
                <w:szCs w:val="24"/>
                <w:lang w:val="en-US" w:eastAsia="zh-CN"/>
              </w:rPr>
              <w:t>省人民政府卫生行政部门负责全省保健用品卫生监督管理、保健用品卫生许可证的审批工作。</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市、州人民政府</w:t>
            </w:r>
            <w:r>
              <w:rPr>
                <w:rFonts w:hint="eastAsia" w:ascii="仿宋_GB2312" w:hAnsi="仿宋_GB2312" w:eastAsia="仿宋_GB2312" w:cs="仿宋_GB2312"/>
                <w:strike w:val="0"/>
                <w:dstrike/>
                <w:sz w:val="32"/>
                <w:szCs w:val="24"/>
                <w:lang w:val="en-US" w:eastAsia="zh-CN"/>
              </w:rPr>
              <w:t>、地区行政公署</w:t>
            </w:r>
            <w:r>
              <w:rPr>
                <w:rFonts w:hint="eastAsia" w:ascii="仿宋_GB2312" w:hAnsi="仿宋_GB2312" w:eastAsia="仿宋_GB2312" w:cs="仿宋_GB2312"/>
                <w:sz w:val="32"/>
                <w:szCs w:val="24"/>
                <w:lang w:val="en-US" w:eastAsia="zh-CN"/>
              </w:rPr>
              <w:t>和县级人民政府卫生行政部门负责本行政区域内的保健用品卫生监督管理工作。</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eastAsia="宋体"/>
                <w:lang w:val="en-US" w:eastAsia="zh-CN"/>
              </w:rPr>
            </w:pPr>
            <w:r>
              <w:rPr>
                <w:rFonts w:hint="eastAsia" w:ascii="仿宋_GB2312" w:hAnsi="仿宋_GB2312" w:eastAsia="仿宋_GB2312" w:cs="仿宋_GB2312"/>
                <w:sz w:val="32"/>
                <w:szCs w:val="24"/>
                <w:lang w:val="en-US" w:eastAsia="zh-CN"/>
              </w:rPr>
              <w:t>县级以上人民政府其他有关部门按照各自职责负责保健用品相关管理工作。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firstLine="420" w:firstLineChars="200"/>
              <w:jc w:val="both"/>
              <w:textAlignment w:val="auto"/>
              <w:outlineLvl w:val="9"/>
            </w:pPr>
          </w:p>
        </w:tc>
        <w:tc>
          <w:tcPr>
            <w:tcW w:w="3606"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第七条</w:t>
            </w:r>
            <w:r>
              <w:rPr>
                <w:rFonts w:hint="eastAsia" w:ascii="仿宋_GB2312" w:hAnsi="仿宋_GB2312" w:eastAsia="仿宋_GB2312" w:cs="仿宋_GB2312"/>
                <w:sz w:val="32"/>
                <w:szCs w:val="24"/>
                <w:lang w:val="en-US" w:eastAsia="zh-CN"/>
              </w:rPr>
              <w:t>　保健用品生产企业申请保健用品卫生许可证，应当具备下列条件，并向所在地市、州人民政府、地区行政公署卫生行政部门申请生产现场审查：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（一）生产厂房建在清洁区域内,与有毒、有害场所保持符合卫生要求的间距;</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（二）生产车间内天花板、墙壁、地面采用光洁建筑材料,采光或者照明良好,具有防止和消除鼠害以及其他有害昆虫孳生条件的设施和措施;</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（三）生产车间内待加工的保健产品、原料、成品不得交叉污染，避免成品接触不洁物、有毒物；</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（四）设有与产品品种、数量相适应的保健用品原料处理、加工、包装、储存等场所;</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（五）具有适合产品生产特点的生产设备或者设施;</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（六）具有合理的设备布局和工艺流程；</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（七）具有健全的卫生管理制度。</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市、州人民政府、地区行政公署卫生行政部门接到申请后，应当在15日内到保健用品生产企业生产现场进行审查，对符合条件的，出具审查合格意见；对不符合条件的，出具审查不合格意见并书面说明理由。</w:t>
            </w:r>
          </w:p>
        </w:tc>
        <w:tc>
          <w:tcPr>
            <w:tcW w:w="3658"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第七条</w:t>
            </w:r>
            <w:r>
              <w:rPr>
                <w:rFonts w:hint="eastAsia" w:ascii="仿宋_GB2312" w:hAnsi="仿宋_GB2312" w:eastAsia="仿宋_GB2312" w:cs="仿宋_GB2312"/>
                <w:sz w:val="32"/>
                <w:szCs w:val="24"/>
                <w:lang w:val="en-US" w:eastAsia="zh-CN"/>
              </w:rPr>
              <w:t>　保健用品生产企业申请保健用品卫生许可证，应当具备下列条件，并向所在地市、州人民政府</w:t>
            </w:r>
            <w:r>
              <w:rPr>
                <w:rFonts w:hint="eastAsia" w:ascii="仿宋_GB2312" w:hAnsi="仿宋_GB2312" w:eastAsia="仿宋_GB2312" w:cs="仿宋_GB2312"/>
                <w:strike w:val="0"/>
                <w:dstrike/>
                <w:kern w:val="2"/>
                <w:sz w:val="32"/>
                <w:szCs w:val="24"/>
                <w:lang w:val="en-US" w:eastAsia="zh-CN" w:bidi="ar-SA"/>
              </w:rPr>
              <w:t>、地区行政公署</w:t>
            </w:r>
            <w:r>
              <w:rPr>
                <w:rFonts w:hint="eastAsia" w:ascii="仿宋_GB2312" w:hAnsi="仿宋_GB2312" w:eastAsia="仿宋_GB2312" w:cs="仿宋_GB2312"/>
                <w:sz w:val="32"/>
                <w:szCs w:val="24"/>
                <w:lang w:val="en-US" w:eastAsia="zh-CN"/>
              </w:rPr>
              <w:t>卫生行政部门申请生产现场审查：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（一）生产厂房建在清洁区域内,与有毒、有害场所保持符合卫生要求的间距;</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（二）生产车间内天花板、墙壁、地面采用光洁建筑材料,采光或者照明良好,具有防止和消除鼠害以及其他有害昆虫孳生条件的设施和措施;</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（三）生产车间内待加工的保健产品、原料、成品不得交叉污染，避免成品接触不洁物、有毒物；</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（四）设有与产品品种、数量相适应的保健用品原料处理、加工、包装、储存等场所;</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（五）具有适合产品生产特点的生产设备或者设施;</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（六）具有合理的设备布局和工艺流程；</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（七）具有健全的卫生管理制度。</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市、州人民政府</w:t>
            </w:r>
            <w:r>
              <w:rPr>
                <w:rFonts w:hint="eastAsia" w:ascii="仿宋_GB2312" w:hAnsi="仿宋_GB2312" w:eastAsia="仿宋_GB2312" w:cs="仿宋_GB2312"/>
                <w:strike w:val="0"/>
                <w:dstrike/>
                <w:kern w:val="2"/>
                <w:sz w:val="32"/>
                <w:szCs w:val="24"/>
                <w:lang w:val="en-US" w:eastAsia="zh-CN" w:bidi="ar-SA"/>
              </w:rPr>
              <w:t>、地区行政公署</w:t>
            </w:r>
            <w:r>
              <w:rPr>
                <w:rFonts w:hint="eastAsia" w:ascii="仿宋_GB2312" w:hAnsi="仿宋_GB2312" w:eastAsia="仿宋_GB2312" w:cs="仿宋_GB2312"/>
                <w:sz w:val="32"/>
                <w:szCs w:val="24"/>
                <w:lang w:val="en-US" w:eastAsia="zh-CN"/>
              </w:rPr>
              <w:t>卫生行政部门接到申请后，应当在</w:t>
            </w:r>
            <w:r>
              <w:rPr>
                <w:rFonts w:hint="eastAsia" w:ascii="仿宋_GB2312" w:hAnsi="仿宋_GB2312" w:eastAsia="仿宋_GB2312" w:cs="仿宋_GB2312"/>
                <w:strike w:val="0"/>
                <w:dstrike/>
                <w:kern w:val="2"/>
                <w:sz w:val="32"/>
                <w:szCs w:val="24"/>
                <w:lang w:val="en-US" w:eastAsia="zh-CN" w:bidi="ar-SA"/>
              </w:rPr>
              <w:t>15</w:t>
            </w:r>
            <w:r>
              <w:rPr>
                <w:rFonts w:hint="eastAsia" w:ascii="黑体" w:hAnsi="黑体" w:eastAsia="黑体" w:cs="黑体"/>
                <w:b w:val="0"/>
                <w:sz w:val="32"/>
                <w:szCs w:val="24"/>
                <w:lang w:val="en-US" w:eastAsia="zh-CN"/>
              </w:rPr>
              <w:t>十五</w:t>
            </w:r>
            <w:r>
              <w:rPr>
                <w:rFonts w:hint="eastAsia" w:ascii="仿宋_GB2312" w:hAnsi="仿宋_GB2312" w:eastAsia="仿宋_GB2312" w:cs="仿宋_GB2312"/>
                <w:sz w:val="32"/>
                <w:szCs w:val="24"/>
                <w:lang w:val="en-US" w:eastAsia="zh-CN"/>
              </w:rPr>
              <w:t>日内到保健用品生产企业生产现场进行审查，对符合条件的，出具审查合格意见；对不符合条件的，出具审查不合格意见并书面说明理由。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第八条</w:t>
            </w:r>
            <w:r>
              <w:rPr>
                <w:rFonts w:hint="eastAsia" w:ascii="仿宋_GB2312" w:hAnsi="仿宋_GB2312" w:eastAsia="仿宋_GB2312" w:cs="仿宋_GB2312"/>
                <w:sz w:val="32"/>
                <w:szCs w:val="24"/>
                <w:lang w:val="en-US" w:eastAsia="zh-CN"/>
              </w:rPr>
              <w:t>　申请人经市、州人民政府、地区行政公署卫生行政部门对保健用品生产企业生产现场审查合格后，可以向省人民政府卫生行政部门申请保健用品卫生许可证，并提供下列资料：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（一）申请表；</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（二）市、州人民政府、地区行政公署卫生行政部门出具的生产现场审查合格意见；</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（三）产品研制报告、命名依据、组方依据及相关资料；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（四）生产企业及生产场所（车间）布局平面图；</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（五）产品生产工艺流程图；</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（六）现行有效的产品质量标准；</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（七）保健用品评审专家组出具的功能性、安全性报告；</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pacing w:val="-6"/>
                <w:kern w:val="2"/>
                <w:sz w:val="32"/>
                <w:szCs w:val="24"/>
                <w:lang w:val="en-US" w:eastAsia="zh-CN" w:bidi="ar-SA"/>
              </w:rPr>
            </w:pPr>
            <w:r>
              <w:rPr>
                <w:rFonts w:hint="eastAsia" w:ascii="仿宋_GB2312" w:hAnsi="仿宋_GB2312" w:eastAsia="仿宋_GB2312" w:cs="仿宋_GB2312"/>
                <w:sz w:val="32"/>
                <w:szCs w:val="24"/>
                <w:lang w:val="en-US" w:eastAsia="zh-CN"/>
              </w:rPr>
              <w:t>（八）</w:t>
            </w:r>
            <w:r>
              <w:rPr>
                <w:rFonts w:hint="eastAsia" w:ascii="仿宋_GB2312" w:hAnsi="仿宋_GB2312" w:eastAsia="仿宋_GB2312" w:cs="仿宋_GB2312"/>
                <w:spacing w:val="-6"/>
                <w:sz w:val="32"/>
                <w:szCs w:val="24"/>
                <w:lang w:val="en-US" w:eastAsia="zh-CN"/>
              </w:rPr>
              <w:t>产品样品及具有检验资质的机构出具的近期产品型式检验报告；</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（九）产品包装、标签及说明书样稿。</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前款第七项规定的保健用品功能性、安全性报告，应当附有保健用品评审专家组的评审意见。</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保健用品评审专家组成员由医学、毒理、药理、营养、检验、医疗器械、生产工艺、管理、标准使用等相关专业的专家组成。保健用品评审专家组管理办法由省人民政府另行制定。</w:t>
            </w:r>
          </w:p>
          <w:p>
            <w:pPr>
              <w:keepNext w:val="0"/>
              <w:keepLines w:val="0"/>
              <w:pageBreakBefore w:val="0"/>
              <w:widowControl w:val="0"/>
              <w:kinsoku/>
              <w:wordWrap/>
              <w:topLinePunct w:val="0"/>
              <w:autoSpaceDE/>
              <w:autoSpaceDN/>
              <w:bidi w:val="0"/>
              <w:adjustRightInd/>
              <w:snapToGrid/>
              <w:spacing w:line="560" w:lineRule="exact"/>
              <w:ind w:left="0" w:leftChars="0" w:right="0" w:firstLine="420" w:firstLineChars="200"/>
              <w:jc w:val="both"/>
              <w:textAlignment w:val="auto"/>
              <w:outlineLvl w:val="9"/>
            </w:pPr>
          </w:p>
        </w:tc>
        <w:tc>
          <w:tcPr>
            <w:tcW w:w="3658"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第八条</w:t>
            </w:r>
            <w:r>
              <w:rPr>
                <w:rFonts w:hint="eastAsia" w:ascii="仿宋_GB2312" w:hAnsi="仿宋_GB2312" w:eastAsia="仿宋_GB2312" w:cs="仿宋_GB2312"/>
                <w:sz w:val="32"/>
                <w:szCs w:val="24"/>
                <w:lang w:val="en-US" w:eastAsia="zh-CN"/>
              </w:rPr>
              <w:t>　申请人经市、州人民政府</w:t>
            </w:r>
            <w:r>
              <w:rPr>
                <w:rFonts w:hint="eastAsia" w:ascii="仿宋_GB2312" w:hAnsi="仿宋_GB2312" w:eastAsia="仿宋_GB2312" w:cs="仿宋_GB2312"/>
                <w:strike w:val="0"/>
                <w:dstrike/>
                <w:kern w:val="2"/>
                <w:sz w:val="32"/>
                <w:szCs w:val="24"/>
                <w:lang w:val="en-US" w:eastAsia="zh-CN" w:bidi="ar-SA"/>
              </w:rPr>
              <w:t>、地区行政公署</w:t>
            </w:r>
            <w:r>
              <w:rPr>
                <w:rFonts w:hint="eastAsia" w:ascii="仿宋_GB2312" w:hAnsi="仿宋_GB2312" w:eastAsia="仿宋_GB2312" w:cs="仿宋_GB2312"/>
                <w:sz w:val="32"/>
                <w:szCs w:val="24"/>
                <w:lang w:val="en-US" w:eastAsia="zh-CN"/>
              </w:rPr>
              <w:t>卫生行政部门对保健用品生产企业生产现场审查合格后，可以向省人民政府卫生行政部门申请保健用品卫生许可证，并提供下列资料：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（一）申请表；</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（二）市、州人民政府</w:t>
            </w:r>
            <w:r>
              <w:rPr>
                <w:rFonts w:hint="eastAsia" w:ascii="仿宋_GB2312" w:hAnsi="仿宋_GB2312" w:eastAsia="仿宋_GB2312" w:cs="仿宋_GB2312"/>
                <w:strike w:val="0"/>
                <w:dstrike/>
                <w:kern w:val="2"/>
                <w:sz w:val="32"/>
                <w:szCs w:val="24"/>
                <w:lang w:val="en-US" w:eastAsia="zh-CN" w:bidi="ar-SA"/>
              </w:rPr>
              <w:t>、地区行政公署</w:t>
            </w:r>
            <w:r>
              <w:rPr>
                <w:rFonts w:hint="eastAsia" w:ascii="仿宋_GB2312" w:hAnsi="仿宋_GB2312" w:eastAsia="仿宋_GB2312" w:cs="仿宋_GB2312"/>
                <w:sz w:val="32"/>
                <w:szCs w:val="24"/>
                <w:lang w:val="en-US" w:eastAsia="zh-CN"/>
              </w:rPr>
              <w:t>卫生行政部门出具的生产现场审查合格意见；</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（三）产品研制报告、命名依据、组方依据及相关资料；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（四）生产企业及生产场所（车间）布局平面图；</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（五）产品生产工艺流程图；</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（六）现行有效的产品质量标准；</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（七）保健用品评审专家组出具的功能性、安全性报告；</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pacing w:val="-6"/>
                <w:kern w:val="2"/>
                <w:sz w:val="32"/>
                <w:szCs w:val="24"/>
                <w:lang w:val="en-US" w:eastAsia="zh-CN" w:bidi="ar-SA"/>
              </w:rPr>
            </w:pPr>
            <w:r>
              <w:rPr>
                <w:rFonts w:hint="eastAsia" w:ascii="仿宋_GB2312" w:hAnsi="仿宋_GB2312" w:eastAsia="仿宋_GB2312" w:cs="仿宋_GB2312"/>
                <w:sz w:val="32"/>
                <w:szCs w:val="24"/>
                <w:lang w:val="en-US" w:eastAsia="zh-CN"/>
              </w:rPr>
              <w:t>（八）</w:t>
            </w:r>
            <w:r>
              <w:rPr>
                <w:rFonts w:hint="eastAsia" w:ascii="仿宋_GB2312" w:hAnsi="仿宋_GB2312" w:eastAsia="仿宋_GB2312" w:cs="仿宋_GB2312"/>
                <w:spacing w:val="-6"/>
                <w:sz w:val="32"/>
                <w:szCs w:val="24"/>
                <w:lang w:val="en-US" w:eastAsia="zh-CN"/>
              </w:rPr>
              <w:t>产品样品及具有检验资质的机构出具的近期产品型式检验报告；</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（九）产品包装、标签及说明书样稿。</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前款第七项规定的保健用品功能性、安全性报告，应当附有保健用品评审专家组的评审意见。</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保健用品评审专家组成员由医学、毒理、药理、营养、检验、医疗器械、生产工艺、管理、标准使用等相关专业的专家组成。保健用品评审专家组管理办法由省人民政府另行制定。</w:t>
            </w:r>
          </w:p>
          <w:p>
            <w:pPr>
              <w:keepNext w:val="0"/>
              <w:keepLines w:val="0"/>
              <w:pageBreakBefore w:val="0"/>
              <w:widowControl w:val="0"/>
              <w:kinsoku/>
              <w:wordWrap/>
              <w:topLinePunct w:val="0"/>
              <w:autoSpaceDE/>
              <w:autoSpaceDN/>
              <w:bidi w:val="0"/>
              <w:adjustRightInd/>
              <w:snapToGrid/>
              <w:spacing w:line="560" w:lineRule="exact"/>
              <w:ind w:left="0" w:leftChars="0" w:right="0" w:firstLine="420" w:firstLineChars="200"/>
              <w:jc w:val="both"/>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黑体" w:hAnsi="黑体" w:eastAsia="黑体" w:cs="黑体"/>
                <w:b w:val="0"/>
                <w:sz w:val="32"/>
                <w:szCs w:val="24"/>
                <w:lang w:val="en-US" w:eastAsia="zh-CN"/>
              </w:rPr>
              <w:t>第十四条</w:t>
            </w:r>
            <w:r>
              <w:rPr>
                <w:rFonts w:hint="eastAsia" w:ascii="仿宋_GB2312" w:hAnsi="仿宋_GB2312" w:eastAsia="仿宋_GB2312" w:cs="仿宋_GB2312"/>
                <w:sz w:val="32"/>
                <w:szCs w:val="24"/>
                <w:lang w:val="en-US" w:eastAsia="zh-CN"/>
              </w:rPr>
              <w:t>　取得省外保健用品产品批件或者卫生许可证的企业，在本省行政区域内从事保健用品生产或者销售，应当到省人民政府卫生行政部门备案。</w:t>
            </w:r>
          </w:p>
        </w:tc>
        <w:tc>
          <w:tcPr>
            <w:tcW w:w="3658"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黑体" w:hAnsi="黑体" w:eastAsia="黑体" w:cs="黑体"/>
                <w:b w:val="0"/>
                <w:sz w:val="32"/>
                <w:szCs w:val="24"/>
                <w:lang w:val="en-US" w:eastAsia="zh-CN"/>
              </w:rPr>
              <w:t>第十四条</w:t>
            </w:r>
            <w:r>
              <w:rPr>
                <w:rFonts w:hint="eastAsia" w:ascii="仿宋_GB2312" w:hAnsi="仿宋_GB2312" w:eastAsia="仿宋_GB2312" w:cs="仿宋_GB2312"/>
                <w:sz w:val="32"/>
                <w:szCs w:val="24"/>
                <w:lang w:val="en-US" w:eastAsia="zh-CN"/>
              </w:rPr>
              <w:t>　取得省外保健用品产品批件或者卫生许可证的企业，</w:t>
            </w:r>
            <w:r>
              <w:rPr>
                <w:rFonts w:hint="eastAsia" w:ascii="黑体" w:hAnsi="黑体" w:eastAsia="黑体" w:cs="黑体"/>
                <w:sz w:val="32"/>
                <w:szCs w:val="24"/>
                <w:lang w:val="en-US" w:eastAsia="zh-CN"/>
              </w:rPr>
              <w:t>可以</w:t>
            </w:r>
            <w:r>
              <w:rPr>
                <w:rFonts w:hint="eastAsia" w:ascii="仿宋_GB2312" w:hAnsi="仿宋_GB2312" w:eastAsia="仿宋_GB2312" w:cs="仿宋_GB2312"/>
                <w:sz w:val="32"/>
                <w:szCs w:val="24"/>
                <w:lang w:val="en-US" w:eastAsia="zh-CN"/>
              </w:rPr>
              <w:t>在本省行政区域内从事保健用品生产或者销售</w:t>
            </w:r>
            <w:r>
              <w:rPr>
                <w:rFonts w:hint="eastAsia" w:ascii="仿宋_GB2312" w:hAnsi="仿宋_GB2312" w:eastAsia="仿宋_GB2312" w:cs="仿宋_GB2312"/>
                <w:strike w:val="0"/>
                <w:dstrike/>
                <w:kern w:val="2"/>
                <w:sz w:val="32"/>
                <w:szCs w:val="24"/>
                <w:lang w:val="en-US" w:eastAsia="zh-CN" w:bidi="ar-SA"/>
              </w:rPr>
              <w:t>，应当到省人民政府卫生行政部门备案</w:t>
            </w:r>
            <w:r>
              <w:rPr>
                <w:rFonts w:hint="eastAsia" w:ascii="仿宋_GB2312" w:hAnsi="仿宋_GB2312" w:eastAsia="仿宋_GB2312" w:cs="仿宋_GB2312"/>
                <w:sz w:val="3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 xml:space="preserve">第二十二条  </w:t>
            </w:r>
            <w:r>
              <w:rPr>
                <w:rFonts w:hint="eastAsia" w:ascii="仿宋_GB2312" w:hAnsi="仿宋_GB2312" w:eastAsia="仿宋_GB2312" w:cs="仿宋_GB2312"/>
                <w:sz w:val="32"/>
                <w:szCs w:val="24"/>
                <w:lang w:val="en-US" w:eastAsia="zh-CN"/>
              </w:rPr>
              <w:t>保健用品广告应当真实、合法，不得涉及疾病的预防和治疗功能，不得欺骗和误导公众。　</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仿宋_GB2312" w:hAnsi="仿宋_GB2312" w:eastAsia="仿宋_GB2312" w:cs="仿宋_GB2312"/>
                <w:sz w:val="32"/>
                <w:szCs w:val="24"/>
                <w:lang w:val="en-US" w:eastAsia="zh-CN"/>
              </w:rPr>
              <w:t>工商行政管理部门应当加强对保健用品广告的监管，及时查处广告违法行为。</w:t>
            </w:r>
          </w:p>
        </w:tc>
        <w:tc>
          <w:tcPr>
            <w:tcW w:w="3658" w:type="dxa"/>
            <w:vAlign w:val="top"/>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 xml:space="preserve">第二十二条  </w:t>
            </w:r>
            <w:r>
              <w:rPr>
                <w:rFonts w:hint="eastAsia" w:ascii="仿宋_GB2312" w:hAnsi="仿宋_GB2312" w:eastAsia="仿宋_GB2312" w:cs="仿宋_GB2312"/>
                <w:sz w:val="32"/>
                <w:szCs w:val="24"/>
                <w:lang w:val="en-US" w:eastAsia="zh-CN"/>
              </w:rPr>
              <w:t>保健用品广告应当真实、合法，不得涉及疾病的预防和治疗功能，不得欺骗和误导公众。　</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仿宋_GB2312" w:hAnsi="仿宋_GB2312" w:eastAsia="仿宋_GB2312" w:cs="仿宋_GB2312"/>
                <w:strike w:val="0"/>
                <w:dstrike/>
                <w:kern w:val="2"/>
                <w:sz w:val="32"/>
                <w:szCs w:val="24"/>
                <w:lang w:val="en-US" w:eastAsia="zh-CN" w:bidi="ar-SA"/>
              </w:rPr>
              <w:t>工商行政</w:t>
            </w:r>
            <w:r>
              <w:rPr>
                <w:rFonts w:hint="eastAsia" w:ascii="黑体" w:hAnsi="黑体" w:eastAsia="黑体" w:cs="黑体"/>
                <w:sz w:val="32"/>
                <w:szCs w:val="24"/>
                <w:lang w:val="en-US" w:eastAsia="zh-CN"/>
              </w:rPr>
              <w:t>市场监督</w:t>
            </w:r>
            <w:r>
              <w:rPr>
                <w:rFonts w:hint="eastAsia" w:ascii="仿宋_GB2312" w:hAnsi="仿宋_GB2312" w:eastAsia="仿宋_GB2312" w:cs="仿宋_GB2312"/>
                <w:sz w:val="32"/>
                <w:szCs w:val="24"/>
                <w:lang w:val="en-US" w:eastAsia="zh-CN"/>
              </w:rPr>
              <w:t>管理部门应当加强对保健用品广告的监管，及时查处广告违法行为。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restart"/>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pPr>
            <w:r>
              <w:rPr>
                <w:rFonts w:hint="eastAsia" w:ascii="黑体" w:hAnsi="黑体" w:eastAsia="黑体" w:cs="黑体"/>
                <w:sz w:val="32"/>
                <w:szCs w:val="32"/>
                <w:lang w:val="en-US" w:eastAsia="zh-CN"/>
              </w:rPr>
              <w:t>《贵州省母婴保健条例》</w:t>
            </w: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第二十三条</w:t>
            </w:r>
            <w:r>
              <w:rPr>
                <w:rFonts w:hint="eastAsia" w:ascii="仿宋_GB2312" w:hAnsi="仿宋_GB2312" w:eastAsia="仿宋_GB2312" w:cs="仿宋_GB2312"/>
                <w:sz w:val="32"/>
                <w:szCs w:val="24"/>
                <w:lang w:val="en-US" w:eastAsia="zh-CN"/>
              </w:rPr>
              <w:t>　母婴保健医学技术鉴定委员会进行医学鉴定时，必须有2／3以上的成员参加，遵循少数服从多数的原则，对不同意见必须记录在案。鉴定结论应当由参加鉴定的委员签名，并加盖鉴定委员会公章。鉴定材料和鉴定结论原件必须立卷存档，禁止涂改、伪造、隐匿、销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24"/>
                <w:lang w:val="en-US" w:eastAsia="zh-CN"/>
              </w:rPr>
              <w:t>母婴保健医学技术鉴定委员会成员中与当事人有利害关系的，应当回避。</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pPr>
            <w:r>
              <w:rPr>
                <w:rFonts w:hint="eastAsia" w:ascii="仿宋_GB2312" w:hAnsi="仿宋_GB2312" w:eastAsia="仿宋_GB2312" w:cs="仿宋_GB2312"/>
                <w:sz w:val="32"/>
                <w:szCs w:val="24"/>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第二十六条</w:t>
            </w:r>
            <w:r>
              <w:rPr>
                <w:rFonts w:hint="eastAsia" w:ascii="仿宋_GB2312" w:hAnsi="仿宋_GB2312" w:eastAsia="仿宋_GB2312" w:cs="仿宋_GB2312"/>
                <w:sz w:val="32"/>
                <w:szCs w:val="24"/>
                <w:lang w:val="en-US" w:eastAsia="zh-CN"/>
              </w:rPr>
              <w:t>　开展遗传病诊断和产前诊断的业务注册，须经省人民政府卫生健康主管部门审批；开展婚前医学检查的业务注册，经县级人民政府卫生健康主管部门审核并报市、州卫生健康主管部门审批；开展涉外、涉台港澳人员婚前医学检查的医疗保健机构，由市、州卫生健康主管部门提名，省人民政府卫生健康主管部门审批；开展接生和母婴保健工作范围内的结扎手术和终止妊娠手术的业务注册，须经县级人民政府卫生健康主管部门审批。开展以上业务，应当领取统一印制的《母婴保健技术服务执业许可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24"/>
                <w:lang w:val="en-US" w:eastAsia="zh-CN"/>
              </w:rPr>
              <w:t>县级以上人民政府卫生健康主管部门应当将婚前医学检查机构和人员名单抄送同级民政部门备案。</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sz w:val="32"/>
                <w:szCs w:val="24"/>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pPr>
            <w:r>
              <w:rPr>
                <w:rFonts w:hint="eastAsia" w:ascii="黑体" w:hAnsi="黑体" w:eastAsia="黑体" w:cs="黑体"/>
                <w:b w:val="0"/>
                <w:sz w:val="32"/>
                <w:szCs w:val="24"/>
                <w:lang w:val="en-US" w:eastAsia="zh-CN"/>
              </w:rPr>
              <w:t>第二十七条</w:t>
            </w:r>
            <w:r>
              <w:rPr>
                <w:rFonts w:hint="eastAsia" w:ascii="仿宋_GB2312" w:hAnsi="仿宋_GB2312" w:eastAsia="仿宋_GB2312" w:cs="仿宋_GB2312"/>
                <w:sz w:val="32"/>
                <w:szCs w:val="24"/>
                <w:lang w:val="en-US" w:eastAsia="zh-CN"/>
              </w:rPr>
              <w:t>　从事《母婴保健法》规定的婚前医学检查、遗传病诊断、产前诊断和母婴保健工作范围内的结扎手术和终止妊娠手术的人员，必须达到国务院卫生健康主管部门规定的条件和要求，并经卫生健康主管部门考核合格，取得《母婴保健技术考核合格证书》。</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pPr>
            <w:r>
              <w:rPr>
                <w:rFonts w:hint="eastAsia" w:ascii="仿宋_GB2312" w:hAnsi="仿宋_GB2312" w:eastAsia="仿宋_GB2312" w:cs="仿宋_GB2312"/>
                <w:sz w:val="32"/>
                <w:szCs w:val="24"/>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第三十条</w:t>
            </w:r>
            <w:r>
              <w:rPr>
                <w:rFonts w:hint="eastAsia" w:ascii="仿宋_GB2312" w:hAnsi="仿宋_GB2312" w:eastAsia="仿宋_GB2312" w:cs="仿宋_GB2312"/>
                <w:sz w:val="32"/>
                <w:szCs w:val="24"/>
                <w:lang w:val="en-US" w:eastAsia="zh-CN"/>
              </w:rPr>
              <w:t>　对违反本条例，未取得国家颁发的有关许可证、合格证的单位或者个人，有下列行为之一的，县级以上人民政府卫生健康主管部门应当予以制止，并可以根据情节给予警告或者对单位处以2000元以上5000元以下罚款，对个人处以1000元以上5000元以下罚款；情节严重的，对单位处以5000元以上2万元以下罚款，对个人处以5000元以上1万元以下罚款；出具的有关医学证明无效：</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（一）从事婚前医学检查、遗传病诊断、产前诊断、医学技术鉴定的；</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（二）施行终止妊娠手术的；</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仿宋_GB2312" w:hAnsi="仿宋_GB2312" w:eastAsia="仿宋_GB2312" w:cs="仿宋_GB2312"/>
                <w:sz w:val="32"/>
                <w:szCs w:val="24"/>
                <w:lang w:val="en-US" w:eastAsia="zh-CN"/>
              </w:rPr>
              <w:t>（三）出具本条例规定的有关医学证明的。</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pPr>
            <w:r>
              <w:rPr>
                <w:rFonts w:hint="eastAsia" w:ascii="仿宋_GB2312" w:hAnsi="仿宋_GB2312" w:eastAsia="仿宋_GB2312" w:cs="仿宋_GB2312"/>
                <w:sz w:val="32"/>
                <w:szCs w:val="24"/>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5"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pPr>
            <w:r>
              <w:rPr>
                <w:rFonts w:hint="eastAsia" w:ascii="黑体" w:hAnsi="黑体" w:eastAsia="黑体" w:cs="黑体"/>
                <w:b w:val="0"/>
                <w:sz w:val="32"/>
                <w:szCs w:val="24"/>
                <w:lang w:val="en-US" w:eastAsia="zh-CN"/>
              </w:rPr>
              <w:t>第三十二条</w:t>
            </w:r>
            <w:r>
              <w:rPr>
                <w:rFonts w:hint="eastAsia" w:ascii="仿宋_GB2312" w:hAnsi="仿宋_GB2312" w:eastAsia="仿宋_GB2312" w:cs="仿宋_GB2312"/>
                <w:sz w:val="32"/>
                <w:szCs w:val="24"/>
                <w:lang w:val="en-US" w:eastAsia="zh-CN"/>
              </w:rPr>
              <w:t>　</w:t>
            </w:r>
            <w:r>
              <w:rPr>
                <w:rFonts w:hint="eastAsia" w:ascii="仿宋_GB2312" w:hAnsi="仿宋_GB2312" w:eastAsia="仿宋_GB2312" w:cs="仿宋_GB2312"/>
                <w:spacing w:val="-6"/>
                <w:sz w:val="32"/>
                <w:szCs w:val="24"/>
                <w:lang w:val="en-US" w:eastAsia="zh-CN"/>
              </w:rPr>
              <w:t>从事母婴保健的工作人员违反本条例有关规定进行胎儿性别鉴定或者出具虚假医学证明的，由医疗保健机构或者卫生健康主管部门依法给予行政处分；卫生健康主管部门并可处以1000元以上5000元以下罚款；情节严重的，取消其执业资格。</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pPr>
            <w:r>
              <w:rPr>
                <w:rFonts w:hint="eastAsia" w:ascii="仿宋_GB2312" w:hAnsi="仿宋_GB2312" w:eastAsia="仿宋_GB2312" w:cs="仿宋_GB2312"/>
                <w:sz w:val="32"/>
                <w:szCs w:val="24"/>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796" w:type="dxa"/>
            <w:vMerge w:val="continue"/>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textAlignment w:val="auto"/>
              <w:outlineLvl w:val="9"/>
            </w:pP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right="0" w:firstLine="420" w:firstLineChars="200"/>
              <w:jc w:val="both"/>
              <w:textAlignment w:val="auto"/>
              <w:outlineLvl w:val="9"/>
            </w:pPr>
          </w:p>
        </w:tc>
        <w:tc>
          <w:tcPr>
            <w:tcW w:w="3658" w:type="dxa"/>
            <w:vAlign w:val="center"/>
          </w:tcPr>
          <w:p>
            <w:pPr>
              <w:keepNext w:val="0"/>
              <w:keepLines w:val="0"/>
              <w:pageBreakBefore w:val="0"/>
              <w:widowControl/>
              <w:kinsoku/>
              <w:wordWrap/>
              <w:topLinePunct w:val="0"/>
              <w:autoSpaceDE/>
              <w:autoSpaceDN/>
              <w:bidi w:val="0"/>
              <w:adjustRightInd/>
              <w:snapToGrid/>
              <w:spacing w:line="560" w:lineRule="exact"/>
              <w:ind w:firstLine="640" w:firstLineChars="200"/>
              <w:jc w:val="left"/>
              <w:textAlignment w:val="auto"/>
            </w:pPr>
            <w:r>
              <w:rPr>
                <w:rFonts w:hint="eastAsia" w:ascii="黑体" w:hAnsi="黑体" w:eastAsia="黑体" w:cs="黑体"/>
                <w:b w:val="0"/>
                <w:sz w:val="32"/>
                <w:szCs w:val="24"/>
                <w:lang w:val="en-US" w:eastAsia="zh-CN"/>
              </w:rPr>
              <w:t xml:space="preserve">第二十九条  </w:t>
            </w:r>
            <w:r>
              <w:rPr>
                <w:rFonts w:hint="eastAsia" w:ascii="黑体" w:hAnsi="黑体" w:eastAsia="黑体" w:cs="黑体"/>
                <w:i w:val="0"/>
                <w:iCs w:val="0"/>
                <w:caps w:val="0"/>
                <w:color w:val="000000"/>
                <w:spacing w:val="0"/>
                <w:kern w:val="0"/>
                <w:sz w:val="32"/>
                <w:szCs w:val="32"/>
                <w:lang w:val="en-US" w:eastAsia="zh-CN"/>
              </w:rPr>
              <w:t>违反本条例规定的其他行为，法律、法规有处罚规定的，从其规定。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179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pPr>
            <w:r>
              <w:rPr>
                <w:rFonts w:hint="eastAsia" w:ascii="黑体" w:hAnsi="黑体" w:eastAsia="黑体" w:cs="黑体"/>
                <w:color w:val="auto"/>
                <w:sz w:val="32"/>
                <w:szCs w:val="32"/>
                <w:lang w:val="en-US" w:eastAsia="zh-CN"/>
              </w:rPr>
              <w:t>《贵州省传统村落保护和发展条例》</w:t>
            </w:r>
          </w:p>
        </w:tc>
        <w:tc>
          <w:tcPr>
            <w:tcW w:w="360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黑体" w:hAnsi="黑体" w:eastAsia="黑体" w:cs="黑体"/>
                <w:color w:val="auto"/>
                <w:sz w:val="32"/>
                <w:szCs w:val="32"/>
                <w:lang w:val="en-US" w:eastAsia="zh-CN"/>
              </w:rPr>
              <w:t>第四十六条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24"/>
                <w:lang w:val="en-US" w:eastAsia="zh-CN"/>
              </w:rPr>
              <w:t>各级人民政府可以设立国有独资公司、国有资本控股公司，传统村落所在地的村集体经济组织可以设立集体控股公司，对传统村落资源进行开发利用。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利用传统村落资源从事经营活动的，应当尊重村民意愿，并依法对权益分配等事项作出约定。</w:t>
            </w:r>
          </w:p>
          <w:p>
            <w:pPr>
              <w:keepNext w:val="0"/>
              <w:keepLines w:val="0"/>
              <w:pageBreakBefore w:val="0"/>
              <w:widowControl w:val="0"/>
              <w:kinsoku/>
              <w:wordWrap/>
              <w:topLinePunct w:val="0"/>
              <w:autoSpaceDE/>
              <w:autoSpaceDN/>
              <w:bidi w:val="0"/>
              <w:adjustRightInd/>
              <w:snapToGrid/>
              <w:spacing w:line="560" w:lineRule="exact"/>
              <w:ind w:left="0" w:leftChars="0" w:right="0" w:firstLine="420" w:firstLineChars="200"/>
              <w:jc w:val="both"/>
              <w:textAlignment w:val="auto"/>
              <w:outlineLvl w:val="9"/>
            </w:pP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黑体" w:hAnsi="黑体" w:eastAsia="黑体" w:cs="黑体"/>
                <w:color w:val="auto"/>
                <w:sz w:val="32"/>
                <w:szCs w:val="32"/>
                <w:lang w:val="en-US" w:eastAsia="zh-CN"/>
              </w:rPr>
              <w:t xml:space="preserve">第四十六条  </w:t>
            </w:r>
            <w:r>
              <w:rPr>
                <w:rFonts w:hint="eastAsia" w:ascii="仿宋_GB2312" w:hAnsi="仿宋_GB2312" w:eastAsia="仿宋_GB2312" w:cs="仿宋_GB2312"/>
                <w:strike w:val="0"/>
                <w:dstrike/>
                <w:kern w:val="2"/>
                <w:sz w:val="32"/>
                <w:szCs w:val="24"/>
                <w:lang w:val="en-US" w:eastAsia="zh-CN" w:bidi="ar-SA"/>
              </w:rPr>
              <w:t>各级人民政府可以设立国有独资公司、国有资本控股公司，传统村落所在地的村集体经济组织可以设立集体控股公司，</w:t>
            </w:r>
            <w:r>
              <w:rPr>
                <w:rFonts w:hint="eastAsia" w:ascii="黑体" w:hAnsi="黑体" w:eastAsia="黑体" w:cs="黑体"/>
                <w:color w:val="auto"/>
                <w:sz w:val="32"/>
                <w:szCs w:val="24"/>
                <w:lang w:val="en-US" w:eastAsia="zh-CN"/>
              </w:rPr>
              <w:t>鼓励和支持市场主体依法</w:t>
            </w:r>
            <w:r>
              <w:rPr>
                <w:rFonts w:hint="eastAsia" w:ascii="仿宋_GB2312" w:hAnsi="仿宋_GB2312" w:eastAsia="仿宋_GB2312" w:cs="仿宋_GB2312"/>
                <w:color w:val="auto"/>
                <w:sz w:val="32"/>
                <w:szCs w:val="24"/>
                <w:lang w:val="en-US" w:eastAsia="zh-CN"/>
              </w:rPr>
              <w:t>对传统村落资源进行开发利用。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24"/>
                <w:lang w:val="en-US" w:eastAsia="zh-CN"/>
              </w:rPr>
              <w:t>利用传统村落资源从事经营活动的，应当尊重村民意愿，并依法对权益分配等事项作出约定。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pPr>
            <w:r>
              <w:rPr>
                <w:rFonts w:hint="eastAsia" w:ascii="黑体" w:hAnsi="黑体" w:eastAsia="黑体" w:cs="黑体"/>
                <w:sz w:val="32"/>
                <w:szCs w:val="32"/>
                <w:lang w:val="en-US" w:eastAsia="zh-CN"/>
              </w:rPr>
              <w:t>《贵州省科学技术资金投入管理条例》</w:t>
            </w: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24"/>
                <w:lang w:val="en-US" w:eastAsia="zh-CN"/>
              </w:rPr>
            </w:pPr>
            <w:r>
              <w:rPr>
                <w:rFonts w:hint="eastAsia" w:ascii="黑体" w:hAnsi="黑体" w:eastAsia="黑体" w:cs="黑体"/>
                <w:b w:val="0"/>
                <w:sz w:val="32"/>
                <w:szCs w:val="24"/>
                <w:lang w:val="en-US" w:eastAsia="zh-CN"/>
              </w:rPr>
              <w:t xml:space="preserve">第十条  </w:t>
            </w:r>
            <w:r>
              <w:rPr>
                <w:rFonts w:hint="eastAsia" w:ascii="仿宋_GB2312" w:hAnsi="仿宋_GB2312" w:eastAsia="仿宋_GB2312" w:cs="仿宋_GB2312"/>
                <w:sz w:val="32"/>
                <w:szCs w:val="24"/>
                <w:lang w:val="en-US" w:eastAsia="zh-CN"/>
              </w:rPr>
              <w:t>企业应当增加研究、开发、成果转化、高新技术产业化和科技服务的资金投入。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sz w:val="32"/>
                <w:szCs w:val="24"/>
                <w:lang w:val="en-US" w:eastAsia="zh-CN"/>
              </w:rPr>
              <w:t>企业每年用于技术开发的经费，应当占当年销售收入的1％以上，高新技术企业应当占3％以上，并按照实际发生额摊入成本费用。</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企业应当增加研究、开发、成果转化、高新技术产业化和科技服务的资金投入。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strike w:val="0"/>
                <w:dstrike/>
                <w:sz w:val="32"/>
                <w:szCs w:val="24"/>
                <w:lang w:val="en-US" w:eastAsia="zh-CN"/>
              </w:rPr>
              <w:t>企业每年用于技术开发的经费，应当占当年销售收入的1％以上，高新技术企业应当占3％以上，并按照实际发生额摊入成本费用。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pPr>
            <w:r>
              <w:rPr>
                <w:rFonts w:hint="eastAsia" w:ascii="黑体" w:hAnsi="黑体" w:eastAsia="黑体" w:cs="黑体"/>
                <w:sz w:val="32"/>
                <w:szCs w:val="32"/>
                <w:lang w:val="en-US" w:eastAsia="zh-CN"/>
              </w:rPr>
              <w:t>《贵州省促进科技成果转化条例》</w:t>
            </w: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b w:val="0"/>
                <w:kern w:val="2"/>
                <w:sz w:val="32"/>
                <w:szCs w:val="24"/>
                <w:lang w:val="en-US" w:eastAsia="zh-CN" w:bidi="ar-SA"/>
              </w:rPr>
              <w:t xml:space="preserve">第二十七条  </w:t>
            </w:r>
            <w:r>
              <w:rPr>
                <w:rFonts w:hint="eastAsia" w:ascii="仿宋_GB2312" w:hAnsi="仿宋_GB2312" w:eastAsia="仿宋_GB2312" w:cs="仿宋_GB2312"/>
                <w:kern w:val="2"/>
                <w:sz w:val="32"/>
                <w:szCs w:val="24"/>
                <w:lang w:val="en-US" w:eastAsia="zh-CN" w:bidi="ar-SA"/>
              </w:rPr>
              <w:t>县级以上人民政府应当制定相关扶持政策，通过无偿资助、贷款贴息、补助资金、保费补贴和创业风险投资等方式，支持企业加大自主创新科技成果转化与产业化投入，支持国内外高新技术成果在本省转化。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kern w:val="2"/>
                <w:sz w:val="32"/>
                <w:szCs w:val="24"/>
                <w:lang w:val="en-US" w:eastAsia="zh-CN" w:bidi="ar-SA"/>
              </w:rPr>
              <w:t>县级以上人民政府应当优先支持大数据产业发展以及生态治理与修复、生物多样性保护、工业三废与大宗固体废弃物循环利用、高效节能技术等科技成果的转化。</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b w:val="0"/>
                <w:kern w:val="2"/>
                <w:sz w:val="32"/>
                <w:szCs w:val="24"/>
                <w:lang w:val="en-US" w:eastAsia="zh-CN" w:bidi="ar-SA"/>
              </w:rPr>
              <w:t xml:space="preserve">第二十七条  </w:t>
            </w:r>
            <w:r>
              <w:rPr>
                <w:rFonts w:hint="eastAsia" w:ascii="仿宋_GB2312" w:hAnsi="仿宋_GB2312" w:eastAsia="仿宋_GB2312" w:cs="仿宋_GB2312"/>
                <w:kern w:val="2"/>
                <w:sz w:val="32"/>
                <w:szCs w:val="24"/>
                <w:lang w:val="en-US" w:eastAsia="zh-CN" w:bidi="ar-SA"/>
              </w:rPr>
              <w:t>县级以上人民政府应当制定相关扶持政策，通过无偿资助、贷款贴息、补助资金、保费补贴和创业风险投资等方式，支持企业加大自主创新科技成果转化与产业化投入，支持国内外高新技术成果在本省转化。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kern w:val="2"/>
                <w:sz w:val="32"/>
                <w:szCs w:val="24"/>
                <w:lang w:val="en-US" w:eastAsia="zh-CN" w:bidi="ar-SA"/>
              </w:rPr>
              <w:t>县级以上人民政府</w:t>
            </w:r>
            <w:r>
              <w:rPr>
                <w:rFonts w:hint="eastAsia" w:ascii="仿宋_GB2312" w:hAnsi="仿宋_GB2312" w:eastAsia="仿宋_GB2312" w:cs="仿宋_GB2312"/>
                <w:strike w:val="0"/>
                <w:dstrike/>
                <w:kern w:val="2"/>
                <w:sz w:val="32"/>
                <w:szCs w:val="24"/>
                <w:lang w:val="en-US" w:eastAsia="zh-CN" w:bidi="ar-SA"/>
              </w:rPr>
              <w:t>应当优先</w:t>
            </w:r>
            <w:r>
              <w:rPr>
                <w:rFonts w:hint="eastAsia" w:ascii="黑体" w:hAnsi="黑体" w:eastAsia="黑体" w:cs="黑体"/>
                <w:kern w:val="2"/>
                <w:sz w:val="32"/>
                <w:szCs w:val="24"/>
                <w:lang w:val="en-US" w:eastAsia="zh-CN" w:bidi="ar-SA"/>
              </w:rPr>
              <w:t>鼓励</w:t>
            </w:r>
            <w:r>
              <w:rPr>
                <w:rFonts w:hint="eastAsia" w:ascii="仿宋_GB2312" w:hAnsi="仿宋_GB2312" w:eastAsia="仿宋_GB2312" w:cs="仿宋_GB2312"/>
                <w:kern w:val="2"/>
                <w:sz w:val="32"/>
                <w:szCs w:val="24"/>
                <w:lang w:val="en-US" w:eastAsia="zh-CN" w:bidi="ar-SA"/>
              </w:rPr>
              <w:t>支持大数据产业发展以及生态治理与修复、生物多样性保护、工业三废与大宗固体废弃物循环利用、高效节能技术等科技成果的转化。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pPr>
            <w:r>
              <w:rPr>
                <w:rFonts w:hint="eastAsia" w:ascii="黑体" w:hAnsi="黑体" w:eastAsia="黑体" w:cs="黑体"/>
                <w:sz w:val="32"/>
                <w:szCs w:val="32"/>
                <w:lang w:val="en-US" w:eastAsia="zh-CN"/>
              </w:rPr>
              <w:t>《贵州省民办教育促进条例》</w:t>
            </w: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黑体" w:hAnsi="黑体" w:eastAsia="黑体" w:cs="黑体"/>
                <w:b w:val="0"/>
                <w:sz w:val="32"/>
                <w:szCs w:val="24"/>
                <w:lang w:val="en-US" w:eastAsia="zh-CN"/>
              </w:rPr>
              <w:t>第七条</w:t>
            </w:r>
            <w:r>
              <w:rPr>
                <w:rFonts w:hint="eastAsia" w:ascii="仿宋_GB2312" w:hAnsi="仿宋_GB2312" w:eastAsia="仿宋_GB2312" w:cs="仿宋_GB2312"/>
                <w:sz w:val="32"/>
                <w:szCs w:val="24"/>
                <w:lang w:val="en-US" w:eastAsia="zh-CN"/>
              </w:rPr>
              <w:t>　设立民办学校应当按照法定条件报有关行政机关审批：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（一）普通高等本、专科院校按照国家规定的权限审批；高等职业院校报省人民政府审批，并报国务院教育行政部门备案；非学历高等教育学校、高等教育自学考试助学机构报省人民政府教育行政部门审批；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（二）普通中等专业学校、职业中等专业学校，报市、州人民政府或者地区行政公署审批，并报省人民政府教育行政部门备案；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（三）普通高级中学、职业高级中学，报市、州人民政府教育行政部门或者地区行政公署教育行政部门审批；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（四）普通初级中学、职业初级中学，报县级人民政府审批，并报市、州人民政府教育行政部门或者地区行政公署教育行政部门备案；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24"/>
                <w:lang w:val="en-US" w:eastAsia="zh-CN"/>
              </w:rPr>
              <w:t>（五）小学、幼儿园、各类文化教育培训学校，报县级人民政府教育行政部门审批；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24"/>
                <w:lang w:val="en-US" w:eastAsia="zh-CN"/>
              </w:rPr>
              <w:t>（六）以职业技能为主的职业资格培训、职业技能培训的民办学校，报县级以上人民政府劳动和社会保障行政部门审批，并抄送同级教育行政部门备案；民办技工学校，按照国家规定的权限审批。</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pPr>
            <w:r>
              <w:rPr>
                <w:rFonts w:hint="eastAsia" w:ascii="仿宋_GB2312" w:hAnsi="仿宋_GB2312" w:eastAsia="仿宋_GB2312" w:cs="仿宋_GB2312"/>
                <w:kern w:val="2"/>
                <w:sz w:val="32"/>
                <w:szCs w:val="24"/>
                <w:lang w:val="en-US" w:eastAsia="zh-CN" w:bidi="ar-SA"/>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restart"/>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《贵州省固体废物污染环境防治条例》</w:t>
            </w:r>
          </w:p>
        </w:tc>
        <w:tc>
          <w:tcPr>
            <w:tcW w:w="360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sz w:val="32"/>
                <w:szCs w:val="32"/>
              </w:rPr>
              <w:t>第十九条</w:t>
            </w:r>
            <w:r>
              <w:rPr>
                <w:rFonts w:ascii="仿宋_GB2312" w:hAnsi="Times New Roman" w:eastAsia="仿宋_GB2312" w:cs="仿宋_GB2312"/>
                <w:i w:val="0"/>
                <w:iCs w:val="0"/>
                <w:caps w:val="0"/>
                <w:color w:val="000000"/>
                <w:spacing w:val="0"/>
                <w:sz w:val="32"/>
                <w:szCs w:val="32"/>
              </w:rPr>
              <w:t>　</w:t>
            </w:r>
            <w:r>
              <w:rPr>
                <w:rFonts w:hint="eastAsia" w:ascii="仿宋_GB2312" w:hAnsi="宋体" w:eastAsia="仿宋_GB2312" w:cs="仿宋_GB2312"/>
                <w:i w:val="0"/>
                <w:iCs w:val="0"/>
                <w:caps w:val="0"/>
                <w:color w:val="000000"/>
                <w:spacing w:val="0"/>
                <w:kern w:val="0"/>
                <w:sz w:val="32"/>
                <w:szCs w:val="32"/>
                <w:lang w:val="en-US" w:eastAsia="zh-CN" w:bidi="ar-SA"/>
              </w:rPr>
              <w:t>产生工业固体废物的开发区、工业园区应当建设工业固体废物集中贮存、处置场。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各级生态环境主管部门不再审批建设开发区、工业园区配套建设以外的贮存、处置场。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i w:val="0"/>
                <w:iCs w:val="0"/>
                <w:caps w:val="0"/>
                <w:color w:val="000000"/>
                <w:spacing w:val="0"/>
                <w:kern w:val="0"/>
                <w:sz w:val="32"/>
                <w:szCs w:val="32"/>
                <w:lang w:val="en-US" w:eastAsia="zh-CN" w:bidi="ar-SA"/>
              </w:rPr>
              <w:t>工业固体废物的处置场按照国家、地方标准进行建设、监理和验收。</w:t>
            </w:r>
          </w:p>
        </w:tc>
        <w:tc>
          <w:tcPr>
            <w:tcW w:w="365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sz w:val="32"/>
                <w:szCs w:val="32"/>
              </w:rPr>
              <w:t>第十九条</w:t>
            </w:r>
            <w:r>
              <w:rPr>
                <w:rFonts w:ascii="仿宋_GB2312" w:hAnsi="Times New Roman" w:eastAsia="仿宋_GB2312" w:cs="仿宋_GB2312"/>
                <w:i w:val="0"/>
                <w:iCs w:val="0"/>
                <w:caps w:val="0"/>
                <w:color w:val="000000"/>
                <w:spacing w:val="0"/>
                <w:sz w:val="32"/>
                <w:szCs w:val="32"/>
              </w:rPr>
              <w:t>　</w:t>
            </w:r>
            <w:r>
              <w:rPr>
                <w:rFonts w:hint="eastAsia" w:ascii="仿宋_GB2312" w:hAnsi="宋体" w:eastAsia="仿宋_GB2312" w:cs="仿宋_GB2312"/>
                <w:i w:val="0"/>
                <w:iCs w:val="0"/>
                <w:caps w:val="0"/>
                <w:color w:val="000000"/>
                <w:spacing w:val="0"/>
                <w:kern w:val="0"/>
                <w:sz w:val="32"/>
                <w:szCs w:val="32"/>
                <w:lang w:val="en-US" w:eastAsia="zh-CN" w:bidi="ar-SA"/>
              </w:rPr>
              <w:t>产生工业固体废物的开发区、工业园区应当建设工业固体废物集中贮存、处置场。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strike w:val="0"/>
                <w:dstrike/>
                <w:color w:val="000000"/>
                <w:spacing w:val="0"/>
                <w:kern w:val="0"/>
                <w:sz w:val="32"/>
                <w:szCs w:val="32"/>
                <w:lang w:val="en-US" w:eastAsia="zh-CN" w:bidi="ar-SA"/>
              </w:rPr>
            </w:pPr>
            <w:r>
              <w:rPr>
                <w:rFonts w:hint="eastAsia" w:ascii="仿宋_GB2312" w:hAnsi="宋体" w:eastAsia="仿宋_GB2312" w:cs="仿宋_GB2312"/>
                <w:i w:val="0"/>
                <w:iCs w:val="0"/>
                <w:caps w:val="0"/>
                <w:strike w:val="0"/>
                <w:dstrike/>
                <w:color w:val="000000"/>
                <w:spacing w:val="0"/>
                <w:kern w:val="0"/>
                <w:sz w:val="32"/>
                <w:szCs w:val="32"/>
                <w:lang w:val="en-US" w:eastAsia="zh-CN" w:bidi="ar-SA"/>
              </w:rPr>
              <w:t>各级生态环境主管部门不再审批建设开发区、工业园区配套建设以外的贮存、处置场。</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工业固体废物的处置场按照国家</w:t>
            </w:r>
            <w:r>
              <w:rPr>
                <w:rFonts w:hint="eastAsia" w:ascii="仿宋_GB2312" w:hAnsi="宋体" w:eastAsia="仿宋_GB2312" w:cs="仿宋_GB2312"/>
                <w:i w:val="0"/>
                <w:iCs w:val="0"/>
                <w:caps w:val="0"/>
                <w:strike w:val="0"/>
                <w:dstrike/>
                <w:color w:val="000000"/>
                <w:spacing w:val="0"/>
                <w:kern w:val="0"/>
                <w:sz w:val="32"/>
                <w:szCs w:val="32"/>
                <w:lang w:val="en-US" w:eastAsia="zh-CN" w:bidi="ar-SA"/>
              </w:rPr>
              <w:t>、地方</w:t>
            </w:r>
            <w:r>
              <w:rPr>
                <w:rFonts w:hint="eastAsia" w:ascii="仿宋_GB2312" w:hAnsi="宋体" w:eastAsia="仿宋_GB2312" w:cs="仿宋_GB2312"/>
                <w:i w:val="0"/>
                <w:iCs w:val="0"/>
                <w:caps w:val="0"/>
                <w:color w:val="000000"/>
                <w:spacing w:val="0"/>
                <w:kern w:val="0"/>
                <w:sz w:val="32"/>
                <w:szCs w:val="32"/>
                <w:lang w:val="en-US" w:eastAsia="zh-CN" w:bidi="ar-SA"/>
              </w:rPr>
              <w:t>标准进行建设、监理和验收。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tc>
        <w:tc>
          <w:tcPr>
            <w:tcW w:w="360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sz w:val="32"/>
                <w:szCs w:val="32"/>
              </w:rPr>
              <w:t>第</w:t>
            </w:r>
            <w:r>
              <w:rPr>
                <w:rFonts w:hint="eastAsia" w:ascii="黑体" w:hAnsi="宋体" w:eastAsia="黑体" w:cs="黑体"/>
                <w:b w:val="0"/>
                <w:bCs w:val="0"/>
                <w:i w:val="0"/>
                <w:iCs w:val="0"/>
                <w:caps w:val="0"/>
                <w:color w:val="000000"/>
                <w:spacing w:val="0"/>
                <w:sz w:val="32"/>
                <w:szCs w:val="32"/>
                <w:lang w:eastAsia="zh-CN"/>
              </w:rPr>
              <w:t>三十四</w:t>
            </w:r>
            <w:r>
              <w:rPr>
                <w:rFonts w:ascii="黑体" w:hAnsi="宋体" w:eastAsia="黑体" w:cs="黑体"/>
                <w:b w:val="0"/>
                <w:bCs w:val="0"/>
                <w:i w:val="0"/>
                <w:iCs w:val="0"/>
                <w:caps w:val="0"/>
                <w:color w:val="000000"/>
                <w:spacing w:val="0"/>
                <w:sz w:val="32"/>
                <w:szCs w:val="32"/>
              </w:rPr>
              <w:t>条</w:t>
            </w:r>
            <w:r>
              <w:rPr>
                <w:rFonts w:ascii="仿宋_GB2312" w:hAnsi="Times New Roman" w:eastAsia="仿宋_GB2312" w:cs="仿宋_GB2312"/>
                <w:i w:val="0"/>
                <w:iCs w:val="0"/>
                <w:caps w:val="0"/>
                <w:color w:val="000000"/>
                <w:spacing w:val="0"/>
                <w:sz w:val="32"/>
                <w:szCs w:val="32"/>
              </w:rPr>
              <w:t>　</w:t>
            </w:r>
            <w:r>
              <w:rPr>
                <w:rFonts w:hint="eastAsia" w:ascii="仿宋_GB2312" w:hAnsi="宋体" w:eastAsia="仿宋_GB2312" w:cs="仿宋_GB2312"/>
                <w:i w:val="0"/>
                <w:iCs w:val="0"/>
                <w:caps w:val="0"/>
                <w:color w:val="000000"/>
                <w:spacing w:val="0"/>
                <w:kern w:val="0"/>
                <w:sz w:val="32"/>
                <w:szCs w:val="32"/>
                <w:lang w:val="en-US" w:eastAsia="zh-CN" w:bidi="ar-SA"/>
              </w:rPr>
              <w:t>禁止新建、改建、扩建生活垃圾填埋场。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环境卫生主管部门应当加强对已建生活垃圾卫生填埋场的管理，对服务期满或者库容满的生活垃圾卫生填埋场进行封场和生态恢复。</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已建生活垃圾焚烧发电处置设施的地区，应当逐年减少垃圾填埋量，鼓励对已填埋的垃圾进行焚烧处置。</w:t>
            </w:r>
          </w:p>
        </w:tc>
        <w:tc>
          <w:tcPr>
            <w:tcW w:w="365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黑体" w:hAnsi="黑体" w:eastAsia="黑体" w:cs="黑体"/>
                <w:i w:val="0"/>
                <w:iCs w:val="0"/>
                <w:caps w:val="0"/>
                <w:color w:val="000000"/>
                <w:spacing w:val="0"/>
                <w:sz w:val="32"/>
                <w:szCs w:val="32"/>
                <w:lang w:eastAsia="zh-CN"/>
              </w:rPr>
            </w:pPr>
            <w:r>
              <w:rPr>
                <w:rFonts w:ascii="黑体" w:hAnsi="宋体" w:eastAsia="黑体" w:cs="黑体"/>
                <w:b w:val="0"/>
                <w:bCs w:val="0"/>
                <w:i w:val="0"/>
                <w:iCs w:val="0"/>
                <w:caps w:val="0"/>
                <w:color w:val="000000"/>
                <w:spacing w:val="0"/>
                <w:sz w:val="32"/>
                <w:szCs w:val="32"/>
              </w:rPr>
              <w:t>第</w:t>
            </w:r>
            <w:r>
              <w:rPr>
                <w:rFonts w:hint="eastAsia" w:ascii="黑体" w:hAnsi="宋体" w:eastAsia="黑体" w:cs="黑体"/>
                <w:b w:val="0"/>
                <w:bCs w:val="0"/>
                <w:i w:val="0"/>
                <w:iCs w:val="0"/>
                <w:caps w:val="0"/>
                <w:color w:val="000000"/>
                <w:spacing w:val="0"/>
                <w:sz w:val="32"/>
                <w:szCs w:val="32"/>
                <w:lang w:eastAsia="zh-CN"/>
              </w:rPr>
              <w:t>三十四</w:t>
            </w:r>
            <w:r>
              <w:rPr>
                <w:rFonts w:ascii="黑体" w:hAnsi="宋体" w:eastAsia="黑体" w:cs="黑体"/>
                <w:b w:val="0"/>
                <w:bCs w:val="0"/>
                <w:i w:val="0"/>
                <w:iCs w:val="0"/>
                <w:caps w:val="0"/>
                <w:color w:val="000000"/>
                <w:spacing w:val="0"/>
                <w:sz w:val="32"/>
                <w:szCs w:val="32"/>
              </w:rPr>
              <w:t>条</w:t>
            </w:r>
            <w:r>
              <w:rPr>
                <w:rFonts w:ascii="仿宋_GB2312" w:hAnsi="Times New Roman" w:eastAsia="仿宋_GB2312" w:cs="仿宋_GB2312"/>
                <w:i w:val="0"/>
                <w:iCs w:val="0"/>
                <w:caps w:val="0"/>
                <w:color w:val="000000"/>
                <w:spacing w:val="0"/>
                <w:sz w:val="32"/>
                <w:szCs w:val="32"/>
              </w:rPr>
              <w:t>　</w:t>
            </w:r>
            <w:r>
              <w:rPr>
                <w:rFonts w:hint="eastAsia" w:ascii="仿宋_GB2312" w:hAnsi="宋体" w:eastAsia="仿宋_GB2312" w:cs="仿宋_GB2312"/>
                <w:i w:val="0"/>
                <w:iCs w:val="0"/>
                <w:caps w:val="0"/>
                <w:color w:val="000000"/>
                <w:spacing w:val="0"/>
                <w:kern w:val="0"/>
                <w:sz w:val="32"/>
                <w:szCs w:val="32"/>
                <w:lang w:val="en-US" w:eastAsia="zh-CN" w:bidi="ar-SA"/>
              </w:rPr>
              <w:t>禁止新建、改建、扩建生活垃圾填埋场</w:t>
            </w:r>
            <w:r>
              <w:rPr>
                <w:rFonts w:hint="eastAsia" w:ascii="黑体" w:hAnsi="黑体" w:eastAsia="黑体" w:cs="黑体"/>
                <w:i w:val="0"/>
                <w:iCs w:val="0"/>
                <w:caps w:val="0"/>
                <w:color w:val="000000"/>
                <w:spacing w:val="0"/>
                <w:kern w:val="0"/>
                <w:sz w:val="32"/>
                <w:szCs w:val="32"/>
                <w:lang w:val="en-US" w:eastAsia="zh-CN" w:bidi="ar-SA"/>
              </w:rPr>
              <w:t>，但是以提升安全、生态环境保护水平为目的的改建除外</w:t>
            </w:r>
            <w:r>
              <w:rPr>
                <w:rFonts w:hint="eastAsia" w:ascii="仿宋_GB2312" w:hAnsi="宋体" w:eastAsia="仿宋_GB2312" w:cs="仿宋_GB2312"/>
                <w:i w:val="0"/>
                <w:iCs w:val="0"/>
                <w:caps w:val="0"/>
                <w:color w:val="000000"/>
                <w:spacing w:val="0"/>
                <w:kern w:val="0"/>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环境卫生主管部门应当加强对已建生活垃圾卫生填埋场的管理，对服务期满或者库容满的生活垃圾卫生填埋场进行封场和生态恢复。</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已建生活垃圾焚烧发电处置设施的地区，应当逐年减少垃圾填埋量，鼓励对已填埋的垃圾进行焚烧处置。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restart"/>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《贵州省节约用水条例》</w:t>
            </w: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九</w:t>
            </w:r>
            <w:r>
              <w:rPr>
                <w:rFonts w:ascii="黑体" w:hAnsi="宋体" w:eastAsia="黑体" w:cs="黑体"/>
                <w:b w:val="0"/>
                <w:bCs w:val="0"/>
                <w:i w:val="0"/>
                <w:iCs w:val="0"/>
                <w:caps w:val="0"/>
                <w:color w:val="000000"/>
                <w:spacing w:val="0"/>
                <w:kern w:val="0"/>
                <w:sz w:val="32"/>
                <w:szCs w:val="32"/>
                <w:lang w:val="en-US" w:eastAsia="zh-CN"/>
              </w:rPr>
              <w:t>条</w:t>
            </w:r>
            <w:r>
              <w:rPr>
                <w:rFonts w:ascii="仿宋_GB2312" w:hAnsi="宋体" w:eastAsia="仿宋_GB2312" w:cs="仿宋_GB2312"/>
                <w:i w:val="0"/>
                <w:iCs w:val="0"/>
                <w:caps w:val="0"/>
                <w:color w:val="000000"/>
                <w:spacing w:val="0"/>
                <w:kern w:val="0"/>
                <w:sz w:val="32"/>
                <w:szCs w:val="32"/>
                <w:lang w:val="en-US" w:eastAsia="zh-CN"/>
              </w:rPr>
              <w:t>　</w:t>
            </w:r>
            <w:r>
              <w:rPr>
                <w:rFonts w:hint="eastAsia" w:ascii="仿宋_GB2312" w:hAnsi="宋体" w:eastAsia="仿宋_GB2312" w:cs="仿宋_GB2312"/>
                <w:i w:val="0"/>
                <w:iCs w:val="0"/>
                <w:caps w:val="0"/>
                <w:color w:val="000000"/>
                <w:spacing w:val="0"/>
                <w:kern w:val="0"/>
                <w:sz w:val="32"/>
                <w:szCs w:val="32"/>
                <w:lang w:val="en-US" w:eastAsia="zh-CN" w:bidi="ar-SA"/>
              </w:rPr>
              <w:t>县级以上人民政府水行政主管部门负责编制本行政区域节约用水规划,征求同级发展改革、住房城乡建设、工业和信息化、农业农村等相关部门的意见后,报本级人民政府批准实施。</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九</w:t>
            </w:r>
            <w:r>
              <w:rPr>
                <w:rFonts w:ascii="黑体" w:hAnsi="宋体" w:eastAsia="黑体" w:cs="黑体"/>
                <w:b w:val="0"/>
                <w:bCs w:val="0"/>
                <w:i w:val="0"/>
                <w:iCs w:val="0"/>
                <w:caps w:val="0"/>
                <w:color w:val="000000"/>
                <w:spacing w:val="0"/>
                <w:kern w:val="0"/>
                <w:sz w:val="32"/>
                <w:szCs w:val="32"/>
                <w:lang w:val="en-US" w:eastAsia="zh-CN"/>
              </w:rPr>
              <w:t>条</w:t>
            </w:r>
            <w:r>
              <w:rPr>
                <w:rFonts w:ascii="仿宋_GB2312" w:hAnsi="宋体" w:eastAsia="仿宋_GB2312" w:cs="仿宋_GB2312"/>
                <w:i w:val="0"/>
                <w:iCs w:val="0"/>
                <w:caps w:val="0"/>
                <w:color w:val="000000"/>
                <w:spacing w:val="0"/>
                <w:kern w:val="0"/>
                <w:sz w:val="32"/>
                <w:szCs w:val="32"/>
                <w:lang w:val="en-US" w:eastAsia="zh-CN"/>
              </w:rPr>
              <w:t>　</w:t>
            </w:r>
            <w:r>
              <w:rPr>
                <w:rFonts w:hint="eastAsia" w:ascii="仿宋_GB2312" w:hAnsi="宋体" w:eastAsia="仿宋_GB2312" w:cs="仿宋_GB2312"/>
                <w:i w:val="0"/>
                <w:iCs w:val="0"/>
                <w:caps w:val="0"/>
                <w:strike w:val="0"/>
                <w:dstrike/>
                <w:color w:val="000000"/>
                <w:spacing w:val="0"/>
                <w:kern w:val="0"/>
                <w:sz w:val="32"/>
                <w:szCs w:val="32"/>
                <w:lang w:val="en-US" w:eastAsia="zh-CN" w:bidi="ar-SA"/>
              </w:rPr>
              <w:t>县级以上人民政府水行政主管部门负责编制本行政区域节约用水规划,征求同级发展改革、住房城乡建设、工业和信息化、农业农村等相关部门的意见后,报本级人民政府批准实施。</w:t>
            </w:r>
            <w:r>
              <w:rPr>
                <w:rFonts w:hint="eastAsia" w:ascii="黑体" w:hAnsi="黑体" w:eastAsia="黑体" w:cs="黑体"/>
                <w:b w:val="0"/>
                <w:bCs w:val="0"/>
                <w:sz w:val="32"/>
                <w:szCs w:val="32"/>
              </w:rPr>
              <w:t>县级以上人民政府根据经济社会发展需要、水资源状况和上级节水规划，组织编制本行政区域的节水规划</w:t>
            </w:r>
            <w:r>
              <w:rPr>
                <w:rFonts w:hint="eastAsia" w:ascii="黑体" w:hAnsi="黑体" w:eastAsia="黑体" w:cs="黑体"/>
                <w:b w:val="0"/>
                <w:bCs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tc>
        <w:tc>
          <w:tcPr>
            <w:tcW w:w="360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十三</w:t>
            </w:r>
            <w:r>
              <w:rPr>
                <w:rFonts w:ascii="黑体" w:hAnsi="宋体" w:eastAsia="黑体" w:cs="黑体"/>
                <w:b w:val="0"/>
                <w:bCs w:val="0"/>
                <w:i w:val="0"/>
                <w:iCs w:val="0"/>
                <w:caps w:val="0"/>
                <w:color w:val="000000"/>
                <w:spacing w:val="0"/>
                <w:kern w:val="0"/>
                <w:sz w:val="32"/>
                <w:szCs w:val="32"/>
                <w:lang w:val="en-US" w:eastAsia="zh-CN"/>
              </w:rPr>
              <w:t>条</w:t>
            </w:r>
            <w:r>
              <w:rPr>
                <w:rFonts w:hint="eastAsia" w:ascii="黑体" w:hAnsi="宋体" w:eastAsia="黑体" w:cs="黑体"/>
                <w:b w:val="0"/>
                <w:bCs w:val="0"/>
                <w:i w:val="0"/>
                <w:iCs w:val="0"/>
                <w:caps w:val="0"/>
                <w:color w:val="000000"/>
                <w:spacing w:val="0"/>
                <w:kern w:val="0"/>
                <w:sz w:val="32"/>
                <w:szCs w:val="32"/>
                <w:lang w:val="en-US" w:eastAsia="zh-CN"/>
              </w:rPr>
              <w:t xml:space="preserve">  </w:t>
            </w:r>
            <w:r>
              <w:rPr>
                <w:rFonts w:hint="eastAsia" w:ascii="仿宋_GB2312" w:hAnsi="宋体" w:eastAsia="仿宋_GB2312" w:cs="仿宋_GB2312"/>
                <w:i w:val="0"/>
                <w:iCs w:val="0"/>
                <w:caps w:val="0"/>
                <w:color w:val="000000"/>
                <w:spacing w:val="0"/>
                <w:kern w:val="0"/>
                <w:sz w:val="32"/>
                <w:szCs w:val="32"/>
                <w:lang w:val="en-US" w:eastAsia="zh-CN" w:bidi="ar-SA"/>
              </w:rPr>
              <w:t>省人民政府水行政主管部门应当会同有关行业主管部门在充分征求利益相关群体意见基础上，制定本省行业用水定额,依照法定程序公布。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行业用水定额应当根据水资源状况、技术进步和经济社会发展水平适时修订。</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黑体" w:hAnsi="宋体" w:eastAsia="黑体" w:cs="黑体"/>
                <w:b w:val="0"/>
                <w:bCs w:val="0"/>
                <w:i w:val="0"/>
                <w:iCs w:val="0"/>
                <w:caps w:val="0"/>
                <w:color w:val="000000"/>
                <w:spacing w:val="0"/>
                <w:kern w:val="0"/>
                <w:sz w:val="32"/>
                <w:szCs w:val="32"/>
                <w:lang w:val="en-US" w:eastAsia="zh-CN"/>
              </w:rPr>
            </w:pPr>
          </w:p>
        </w:tc>
        <w:tc>
          <w:tcPr>
            <w:tcW w:w="365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黑体" w:hAnsi="黑体" w:eastAsia="黑体" w:cs="黑体"/>
                <w:b/>
                <w:bCs/>
                <w:i w:val="0"/>
                <w:iCs w:val="0"/>
                <w:caps w:val="0"/>
                <w:color w:val="000000"/>
                <w:spacing w:val="0"/>
                <w:sz w:val="32"/>
                <w:szCs w:val="32"/>
                <w:lang w:eastAsia="zh-CN"/>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十三</w:t>
            </w:r>
            <w:r>
              <w:rPr>
                <w:rFonts w:ascii="黑体" w:hAnsi="宋体" w:eastAsia="黑体" w:cs="黑体"/>
                <w:b w:val="0"/>
                <w:bCs w:val="0"/>
                <w:i w:val="0"/>
                <w:iCs w:val="0"/>
                <w:caps w:val="0"/>
                <w:color w:val="000000"/>
                <w:spacing w:val="0"/>
                <w:kern w:val="0"/>
                <w:sz w:val="32"/>
                <w:szCs w:val="32"/>
                <w:lang w:val="en-US" w:eastAsia="zh-CN"/>
              </w:rPr>
              <w:t>条</w:t>
            </w:r>
            <w:r>
              <w:rPr>
                <w:rFonts w:hint="eastAsia" w:ascii="黑体" w:hAnsi="宋体" w:eastAsia="黑体" w:cs="黑体"/>
                <w:b w:val="0"/>
                <w:bCs w:val="0"/>
                <w:i w:val="0"/>
                <w:iCs w:val="0"/>
                <w:caps w:val="0"/>
                <w:color w:val="000000"/>
                <w:spacing w:val="0"/>
                <w:kern w:val="0"/>
                <w:sz w:val="32"/>
                <w:szCs w:val="32"/>
                <w:lang w:val="en-US" w:eastAsia="zh-CN"/>
              </w:rPr>
              <w:t>　</w:t>
            </w:r>
            <w:r>
              <w:rPr>
                <w:rFonts w:hint="eastAsia" w:ascii="仿宋_GB2312" w:hAnsi="宋体" w:eastAsia="仿宋_GB2312" w:cs="仿宋_GB2312"/>
                <w:i w:val="0"/>
                <w:iCs w:val="0"/>
                <w:caps w:val="0"/>
                <w:strike w:val="0"/>
                <w:dstrike/>
                <w:color w:val="000000"/>
                <w:spacing w:val="0"/>
                <w:kern w:val="0"/>
                <w:sz w:val="32"/>
                <w:szCs w:val="32"/>
                <w:lang w:val="en-US" w:eastAsia="zh-CN" w:bidi="ar-SA"/>
              </w:rPr>
              <w:t>省人民政府水行政主管部门应当会同有关行业主管部门在充分征求利益相关群体意见基础上，制定本省行业用水定额,依照法定程序公布。</w:t>
            </w:r>
            <w:r>
              <w:rPr>
                <w:rFonts w:hint="eastAsia" w:ascii="黑体" w:hAnsi="黑体" w:eastAsia="黑体" w:cs="黑体"/>
                <w:b w:val="0"/>
                <w:bCs w:val="0"/>
                <w:sz w:val="32"/>
                <w:szCs w:val="32"/>
                <w:lang w:eastAsia="zh-CN"/>
              </w:rPr>
              <w:t>本省</w:t>
            </w:r>
            <w:r>
              <w:rPr>
                <w:rFonts w:hint="eastAsia" w:ascii="黑体" w:hAnsi="黑体" w:eastAsia="黑体" w:cs="黑体"/>
                <w:b w:val="0"/>
                <w:bCs w:val="0"/>
                <w:sz w:val="32"/>
                <w:szCs w:val="32"/>
              </w:rPr>
              <w:t>用水定额由省人民政府有关行业主管部门提出，经同级水行政、标准化主管部门审核同意后，由省人民政府公布，并报国务院水行政、标准化主管部门备案</w:t>
            </w:r>
            <w:r>
              <w:rPr>
                <w:rFonts w:hint="eastAsia" w:ascii="黑体" w:hAnsi="黑体" w:eastAsia="黑体" w:cs="黑体"/>
                <w:b w:val="0"/>
                <w:bCs w:val="0"/>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ascii="黑体" w:hAnsi="宋体" w:eastAsia="黑体" w:cs="黑体"/>
                <w:b w:val="0"/>
                <w:bCs w:val="0"/>
                <w:i w:val="0"/>
                <w:iCs w:val="0"/>
                <w:caps w:val="0"/>
                <w:color w:val="000000"/>
                <w:spacing w:val="0"/>
                <w:kern w:val="0"/>
                <w:sz w:val="32"/>
                <w:szCs w:val="32"/>
                <w:lang w:val="en-US" w:eastAsia="zh-CN"/>
              </w:rPr>
            </w:pPr>
            <w:r>
              <w:rPr>
                <w:rFonts w:hint="eastAsia" w:ascii="仿宋_GB2312" w:hAnsi="Times New Roman" w:eastAsia="仿宋_GB2312" w:cs="仿宋_GB2312"/>
                <w:i w:val="0"/>
                <w:iCs w:val="0"/>
                <w:caps w:val="0"/>
                <w:strike w:val="0"/>
                <w:dstrike/>
                <w:color w:val="000000"/>
                <w:spacing w:val="0"/>
                <w:sz w:val="32"/>
                <w:szCs w:val="32"/>
              </w:rPr>
              <w:t>行业</w:t>
            </w:r>
            <w:r>
              <w:rPr>
                <w:rFonts w:hint="eastAsia" w:ascii="黑体" w:hAnsi="黑体" w:eastAsia="黑体" w:cs="黑体"/>
                <w:b w:val="0"/>
                <w:bCs w:val="0"/>
                <w:sz w:val="32"/>
                <w:szCs w:val="32"/>
                <w:lang w:eastAsia="zh-CN"/>
              </w:rPr>
              <w:t>本省</w:t>
            </w:r>
            <w:r>
              <w:rPr>
                <w:rFonts w:hint="eastAsia" w:ascii="仿宋_GB2312" w:hAnsi="Times New Roman" w:eastAsia="仿宋_GB2312" w:cs="仿宋_GB2312"/>
                <w:i w:val="0"/>
                <w:iCs w:val="0"/>
                <w:caps w:val="0"/>
                <w:color w:val="000000"/>
                <w:spacing w:val="0"/>
                <w:sz w:val="32"/>
                <w:szCs w:val="32"/>
              </w:rPr>
              <w:t>用水定额应当根据水资源状况、技术进步和经济社会发展水平适时修订。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tc>
        <w:tc>
          <w:tcPr>
            <w:tcW w:w="360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十五</w:t>
            </w:r>
            <w:r>
              <w:rPr>
                <w:rFonts w:ascii="黑体" w:hAnsi="宋体" w:eastAsia="黑体" w:cs="黑体"/>
                <w:b w:val="0"/>
                <w:bCs w:val="0"/>
                <w:i w:val="0"/>
                <w:iCs w:val="0"/>
                <w:caps w:val="0"/>
                <w:color w:val="000000"/>
                <w:spacing w:val="0"/>
                <w:kern w:val="0"/>
                <w:sz w:val="32"/>
                <w:szCs w:val="32"/>
                <w:lang w:val="en-US" w:eastAsia="zh-CN"/>
              </w:rPr>
              <w:t>条</w:t>
            </w:r>
            <w:r>
              <w:rPr>
                <w:rFonts w:hint="eastAsia" w:ascii="黑体" w:hAnsi="宋体" w:eastAsia="黑体" w:cs="黑体"/>
                <w:b w:val="0"/>
                <w:bCs w:val="0"/>
                <w:i w:val="0"/>
                <w:iCs w:val="0"/>
                <w:caps w:val="0"/>
                <w:color w:val="000000"/>
                <w:spacing w:val="0"/>
                <w:kern w:val="0"/>
                <w:sz w:val="32"/>
                <w:szCs w:val="32"/>
                <w:lang w:val="en-US" w:eastAsia="zh-CN"/>
              </w:rPr>
              <w:t xml:space="preserve">  </w:t>
            </w:r>
            <w:r>
              <w:rPr>
                <w:rFonts w:hint="eastAsia" w:ascii="仿宋_GB2312" w:hAnsi="宋体" w:eastAsia="仿宋_GB2312" w:cs="仿宋_GB2312"/>
                <w:i w:val="0"/>
                <w:iCs w:val="0"/>
                <w:caps w:val="0"/>
                <w:color w:val="000000"/>
                <w:spacing w:val="0"/>
                <w:kern w:val="0"/>
                <w:sz w:val="32"/>
                <w:szCs w:val="32"/>
                <w:lang w:val="en-US" w:eastAsia="zh-CN" w:bidi="ar-SA"/>
              </w:rPr>
              <w:t>重点监控用水单位应当按照国家规定的标准和规程,每3年开展一次水平衡测试,对用水系统进行检测、统计和分析,落实节水措施,提高用水效率。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用水单位实际年用水量超过其年用水量30%的,应当进行水平衡测试。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开展水平衡测试的用水单位应当对测试结果的真实性负责,向县级以上人民政府水行政主管部门报送测试结果。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黑体" w:hAnsi="宋体" w:eastAsia="黑体" w:cs="黑体"/>
                <w:b w:val="0"/>
                <w:bCs w:val="0"/>
                <w:i w:val="0"/>
                <w:iCs w:val="0"/>
                <w:caps w:val="0"/>
                <w:color w:val="000000"/>
                <w:spacing w:val="0"/>
                <w:kern w:val="0"/>
                <w:sz w:val="32"/>
                <w:szCs w:val="32"/>
                <w:lang w:val="en-US" w:eastAsia="zh-CN"/>
              </w:rPr>
            </w:pPr>
            <w:r>
              <w:rPr>
                <w:rFonts w:hint="eastAsia" w:ascii="仿宋_GB2312" w:hAnsi="宋体" w:eastAsia="仿宋_GB2312" w:cs="仿宋_GB2312"/>
                <w:i w:val="0"/>
                <w:iCs w:val="0"/>
                <w:caps w:val="0"/>
                <w:color w:val="000000"/>
                <w:spacing w:val="0"/>
                <w:kern w:val="0"/>
                <w:sz w:val="32"/>
                <w:szCs w:val="32"/>
                <w:lang w:val="en-US" w:eastAsia="zh-CN" w:bidi="ar-SA"/>
              </w:rPr>
              <w:t>县级以上人民政府水行政主管部门应当加强水平衡测试监督管理,将测试结果作为核定有关用水单位用水指标的依据。</w:t>
            </w:r>
          </w:p>
        </w:tc>
        <w:tc>
          <w:tcPr>
            <w:tcW w:w="365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十五</w:t>
            </w:r>
            <w:r>
              <w:rPr>
                <w:rFonts w:ascii="黑体" w:hAnsi="宋体" w:eastAsia="黑体" w:cs="黑体"/>
                <w:b w:val="0"/>
                <w:bCs w:val="0"/>
                <w:i w:val="0"/>
                <w:iCs w:val="0"/>
                <w:caps w:val="0"/>
                <w:color w:val="000000"/>
                <w:spacing w:val="0"/>
                <w:kern w:val="0"/>
                <w:sz w:val="32"/>
                <w:szCs w:val="32"/>
                <w:lang w:val="en-US" w:eastAsia="zh-CN"/>
              </w:rPr>
              <w:t>条</w:t>
            </w:r>
            <w:r>
              <w:rPr>
                <w:rFonts w:hint="eastAsia" w:ascii="黑体" w:hAnsi="宋体" w:eastAsia="黑体" w:cs="黑体"/>
                <w:b w:val="0"/>
                <w:bCs w:val="0"/>
                <w:i w:val="0"/>
                <w:iCs w:val="0"/>
                <w:caps w:val="0"/>
                <w:color w:val="000000"/>
                <w:spacing w:val="0"/>
                <w:kern w:val="0"/>
                <w:sz w:val="32"/>
                <w:szCs w:val="32"/>
                <w:lang w:val="en-US" w:eastAsia="zh-CN"/>
              </w:rPr>
              <w:t xml:space="preserve">  </w:t>
            </w:r>
            <w:r>
              <w:rPr>
                <w:rFonts w:hint="eastAsia" w:ascii="仿宋_GB2312" w:hAnsi="Times New Roman" w:eastAsia="仿宋_GB2312" w:cs="仿宋_GB2312"/>
                <w:i w:val="0"/>
                <w:iCs w:val="0"/>
                <w:caps w:val="0"/>
                <w:color w:val="000000"/>
                <w:spacing w:val="0"/>
                <w:sz w:val="32"/>
                <w:szCs w:val="32"/>
              </w:rPr>
              <w:t>重点监控用水单位应当按照国家规定的标准和规程,</w:t>
            </w:r>
            <w:r>
              <w:rPr>
                <w:rFonts w:hint="eastAsia" w:ascii="仿宋_GB2312" w:hAnsi="Times New Roman" w:eastAsia="仿宋_GB2312" w:cs="仿宋_GB2312"/>
                <w:i w:val="0"/>
                <w:iCs w:val="0"/>
                <w:caps w:val="0"/>
                <w:strike w:val="0"/>
                <w:dstrike/>
                <w:color w:val="000000"/>
                <w:spacing w:val="0"/>
                <w:sz w:val="32"/>
                <w:szCs w:val="32"/>
              </w:rPr>
              <w:t>每3年开展一次</w:t>
            </w:r>
            <w:r>
              <w:rPr>
                <w:rFonts w:hint="eastAsia" w:ascii="黑体" w:hAnsi="黑体" w:eastAsia="黑体" w:cs="黑体"/>
                <w:b w:val="0"/>
                <w:bCs w:val="0"/>
                <w:i w:val="0"/>
                <w:iCs w:val="0"/>
                <w:caps w:val="0"/>
                <w:strike w:val="0"/>
                <w:dstrike w:val="0"/>
                <w:color w:val="000000"/>
                <w:spacing w:val="0"/>
                <w:sz w:val="32"/>
                <w:szCs w:val="32"/>
                <w:lang w:eastAsia="zh-CN"/>
              </w:rPr>
              <w:t>开展</w:t>
            </w:r>
            <w:r>
              <w:rPr>
                <w:rFonts w:hint="eastAsia" w:ascii="仿宋_GB2312" w:hAnsi="Times New Roman" w:eastAsia="仿宋_GB2312" w:cs="仿宋_GB2312"/>
                <w:i w:val="0"/>
                <w:iCs w:val="0"/>
                <w:caps w:val="0"/>
                <w:color w:val="000000"/>
                <w:spacing w:val="0"/>
                <w:sz w:val="32"/>
                <w:szCs w:val="32"/>
              </w:rPr>
              <w:t>水平衡测试,对用水系统进行检测、统计和分析,落实节水措施,提高用水效率。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strike w:val="0"/>
                <w:dstrike/>
                <w:color w:val="000000"/>
                <w:spacing w:val="0"/>
                <w:sz w:val="32"/>
                <w:szCs w:val="32"/>
              </w:rPr>
            </w:pPr>
            <w:r>
              <w:rPr>
                <w:rFonts w:hint="eastAsia" w:ascii="仿宋_GB2312" w:hAnsi="Times New Roman" w:eastAsia="仿宋_GB2312" w:cs="仿宋_GB2312"/>
                <w:i w:val="0"/>
                <w:iCs w:val="0"/>
                <w:caps w:val="0"/>
                <w:strike w:val="0"/>
                <w:dstrike/>
                <w:color w:val="000000"/>
                <w:spacing w:val="0"/>
                <w:sz w:val="32"/>
                <w:szCs w:val="32"/>
              </w:rPr>
              <w:t>用水单位实际年用水量超过其年用水量30%的,应当进行水平衡测试。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开展水平衡测试的用水单位应当对测试结果的真实性负责,向县级以上人民政府水行政主管部门报送测试结果。</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Times New Roman" w:eastAsia="仿宋_GB2312" w:cs="仿宋_GB2312"/>
                <w:i w:val="0"/>
                <w:iCs w:val="0"/>
                <w:caps w:val="0"/>
                <w:strike w:val="0"/>
                <w:dstrike/>
                <w:color w:val="000000"/>
                <w:spacing w:val="0"/>
                <w:sz w:val="32"/>
                <w:szCs w:val="32"/>
              </w:rPr>
            </w:pPr>
            <w:r>
              <w:rPr>
                <w:rFonts w:hint="eastAsia" w:ascii="仿宋_GB2312" w:hAnsi="Times New Roman" w:eastAsia="仿宋_GB2312" w:cs="仿宋_GB2312"/>
                <w:i w:val="0"/>
                <w:iCs w:val="0"/>
                <w:caps w:val="0"/>
                <w:color w:val="000000"/>
                <w:spacing w:val="0"/>
                <w:sz w:val="32"/>
                <w:szCs w:val="32"/>
              </w:rPr>
              <w:t>县级以上人民政府水行政主管部门应当加强水平衡测试监督管理,将测试结果作为核定有关用水单位用水指标的依据。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tc>
        <w:tc>
          <w:tcPr>
            <w:tcW w:w="360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二十三</w:t>
            </w:r>
            <w:r>
              <w:rPr>
                <w:rFonts w:ascii="黑体" w:hAnsi="宋体" w:eastAsia="黑体" w:cs="黑体"/>
                <w:b w:val="0"/>
                <w:bCs w:val="0"/>
                <w:i w:val="0"/>
                <w:iCs w:val="0"/>
                <w:caps w:val="0"/>
                <w:color w:val="000000"/>
                <w:spacing w:val="0"/>
                <w:kern w:val="0"/>
                <w:sz w:val="32"/>
                <w:szCs w:val="32"/>
                <w:lang w:val="en-US" w:eastAsia="zh-CN"/>
              </w:rPr>
              <w:t>条</w:t>
            </w:r>
            <w:r>
              <w:rPr>
                <w:rFonts w:hint="eastAsia" w:ascii="黑体" w:hAnsi="宋体" w:eastAsia="黑体" w:cs="黑体"/>
                <w:b w:val="0"/>
                <w:bCs w:val="0"/>
                <w:i w:val="0"/>
                <w:iCs w:val="0"/>
                <w:caps w:val="0"/>
                <w:color w:val="000000"/>
                <w:spacing w:val="0"/>
                <w:kern w:val="0"/>
                <w:sz w:val="32"/>
                <w:szCs w:val="32"/>
                <w:lang w:val="en-US" w:eastAsia="zh-CN"/>
              </w:rPr>
              <w:t xml:space="preserve">  </w:t>
            </w:r>
            <w:r>
              <w:rPr>
                <w:rFonts w:hint="eastAsia" w:ascii="仿宋_GB2312" w:hAnsi="宋体" w:eastAsia="仿宋_GB2312" w:cs="仿宋_GB2312"/>
                <w:i w:val="0"/>
                <w:iCs w:val="0"/>
                <w:caps w:val="0"/>
                <w:color w:val="000000"/>
                <w:spacing w:val="0"/>
                <w:kern w:val="0"/>
                <w:sz w:val="32"/>
                <w:szCs w:val="32"/>
                <w:lang w:val="en-US" w:eastAsia="zh-CN" w:bidi="ar-SA"/>
              </w:rPr>
              <w:t>鼓励支持新建、扩建、改建的污水处理企业建设再生水利用系统及输配管网。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城市园林绿化、环境卫生等市政用水应当使用再生水，建筑施工用水应当优先使用再生水。因再生水水量不足确需在城镇公共供水管网取水的,应当在指定地点取水,并计量缴费。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宋体" w:eastAsia="仿宋_GB2312" w:cs="仿宋_GB2312"/>
                <w:i w:val="0"/>
                <w:iCs w:val="0"/>
                <w:caps w:val="0"/>
                <w:color w:val="000000"/>
                <w:spacing w:val="0"/>
                <w:kern w:val="0"/>
                <w:sz w:val="32"/>
                <w:szCs w:val="32"/>
                <w:lang w:val="en-US" w:eastAsia="zh-CN" w:bidi="ar-SA"/>
              </w:rPr>
              <w:t>除消防等应急救援外,任何单位和个人不得通过市政消火栓取水。</w:t>
            </w:r>
          </w:p>
        </w:tc>
        <w:tc>
          <w:tcPr>
            <w:tcW w:w="3658"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ascii="黑体" w:hAnsi="宋体" w:eastAsia="黑体" w:cs="黑体"/>
                <w:b w:val="0"/>
                <w:bCs w:val="0"/>
                <w:i w:val="0"/>
                <w:iCs w:val="0"/>
                <w:caps w:val="0"/>
                <w:color w:val="000000"/>
                <w:spacing w:val="0"/>
                <w:kern w:val="0"/>
                <w:sz w:val="32"/>
                <w:szCs w:val="32"/>
                <w:lang w:val="en-US" w:eastAsia="zh-CN"/>
              </w:rPr>
              <w:t>第</w:t>
            </w:r>
            <w:r>
              <w:rPr>
                <w:rFonts w:hint="eastAsia" w:ascii="黑体" w:hAnsi="宋体" w:eastAsia="黑体" w:cs="黑体"/>
                <w:b w:val="0"/>
                <w:bCs w:val="0"/>
                <w:i w:val="0"/>
                <w:iCs w:val="0"/>
                <w:caps w:val="0"/>
                <w:color w:val="000000"/>
                <w:spacing w:val="0"/>
                <w:kern w:val="0"/>
                <w:sz w:val="32"/>
                <w:szCs w:val="32"/>
                <w:lang w:val="en-US" w:eastAsia="zh-CN"/>
              </w:rPr>
              <w:t>二十三</w:t>
            </w:r>
            <w:r>
              <w:rPr>
                <w:rFonts w:ascii="黑体" w:hAnsi="宋体" w:eastAsia="黑体" w:cs="黑体"/>
                <w:b w:val="0"/>
                <w:bCs w:val="0"/>
                <w:i w:val="0"/>
                <w:iCs w:val="0"/>
                <w:caps w:val="0"/>
                <w:color w:val="000000"/>
                <w:spacing w:val="0"/>
                <w:kern w:val="0"/>
                <w:sz w:val="32"/>
                <w:szCs w:val="32"/>
                <w:lang w:val="en-US" w:eastAsia="zh-CN"/>
              </w:rPr>
              <w:t>条</w:t>
            </w:r>
            <w:r>
              <w:rPr>
                <w:rFonts w:hint="eastAsia" w:ascii="黑体" w:hAnsi="宋体" w:eastAsia="黑体" w:cs="黑体"/>
                <w:b w:val="0"/>
                <w:bCs w:val="0"/>
                <w:i w:val="0"/>
                <w:iCs w:val="0"/>
                <w:caps w:val="0"/>
                <w:color w:val="000000"/>
                <w:spacing w:val="0"/>
                <w:kern w:val="0"/>
                <w:sz w:val="32"/>
                <w:szCs w:val="32"/>
                <w:lang w:val="en-US" w:eastAsia="zh-CN"/>
              </w:rPr>
              <w:t xml:space="preserve">  </w:t>
            </w:r>
            <w:r>
              <w:rPr>
                <w:rFonts w:hint="eastAsia" w:ascii="仿宋_GB2312" w:hAnsi="Times New Roman" w:eastAsia="仿宋_GB2312" w:cs="仿宋_GB2312"/>
                <w:i w:val="0"/>
                <w:iCs w:val="0"/>
                <w:caps w:val="0"/>
                <w:color w:val="000000"/>
                <w:spacing w:val="0"/>
                <w:sz w:val="32"/>
                <w:szCs w:val="32"/>
              </w:rPr>
              <w:t>鼓励支持新建、扩建、改建的污水处理企业建设再生水利用系统及输配管网。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strike w:val="0"/>
                <w:dstrike/>
                <w:color w:val="000000"/>
                <w:spacing w:val="0"/>
                <w:sz w:val="32"/>
                <w:szCs w:val="32"/>
              </w:rPr>
              <w:t>城市园林绿化、环境卫生等市政用水应当使用再生水，建筑施工用水应当优先使用再生水。</w:t>
            </w:r>
            <w:r>
              <w:rPr>
                <w:rFonts w:hint="eastAsia" w:ascii="黑体" w:hAnsi="黑体" w:eastAsia="黑体" w:cs="黑体"/>
                <w:b w:val="0"/>
                <w:bCs w:val="0"/>
                <w:sz w:val="32"/>
                <w:szCs w:val="32"/>
              </w:rPr>
              <w:t>城市绿化、道路清扫、车辆冲洗、建筑施工以及生态景观等用水，应当优先使用符合标准要求的再生水。</w:t>
            </w:r>
            <w:r>
              <w:rPr>
                <w:rFonts w:hint="eastAsia" w:ascii="仿宋_GB2312" w:hAnsi="Times New Roman" w:eastAsia="仿宋_GB2312" w:cs="仿宋_GB2312"/>
                <w:i w:val="0"/>
                <w:iCs w:val="0"/>
                <w:caps w:val="0"/>
                <w:color w:val="000000"/>
                <w:spacing w:val="0"/>
                <w:sz w:val="32"/>
                <w:szCs w:val="32"/>
              </w:rPr>
              <w:t>因再生水水量不足确需在城镇公共供水管网取水的,应当在指定地点取水,并计量缴费。</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Times New Roman" w:eastAsia="仿宋_GB2312" w:cs="仿宋_GB2312"/>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除消防等应急救援外,任何单位和个人不得通过市政消火栓取水。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tc>
        <w:tc>
          <w:tcPr>
            <w:tcW w:w="3606" w:type="dxa"/>
            <w:vAlign w:val="center"/>
          </w:tcPr>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黑体" w:hAnsi="黑体" w:eastAsia="黑体" w:cs="黑体"/>
                <w:i w:val="0"/>
                <w:iCs w:val="0"/>
                <w:caps w:val="0"/>
                <w:color w:val="000000"/>
                <w:spacing w:val="0"/>
                <w:kern w:val="0"/>
                <w:sz w:val="32"/>
                <w:szCs w:val="32"/>
                <w:lang w:val="en-US" w:eastAsia="zh-CN" w:bidi="ar-SA"/>
              </w:rPr>
              <w:t>第三十五条</w:t>
            </w:r>
            <w:r>
              <w:rPr>
                <w:rFonts w:hint="eastAsia" w:ascii="仿宋_GB2312" w:hAnsi="宋体" w:eastAsia="仿宋_GB2312" w:cs="仿宋_GB2312"/>
                <w:i w:val="0"/>
                <w:iCs w:val="0"/>
                <w:caps w:val="0"/>
                <w:color w:val="000000"/>
                <w:spacing w:val="0"/>
                <w:kern w:val="0"/>
                <w:sz w:val="32"/>
                <w:szCs w:val="32"/>
                <w:lang w:val="en-US" w:eastAsia="zh-CN" w:bidi="ar-SA"/>
              </w:rPr>
              <w:t xml:space="preserve">  违反本条例第十五条第一款、第二款规定,用水单位未按规定开展水平衡测试的,由县级以上人民政府水行政主管部门责令限期改正;逾期未改正的,处以5万元以上10万元以下罚款。</w:t>
            </w:r>
          </w:p>
        </w:tc>
        <w:tc>
          <w:tcPr>
            <w:tcW w:w="3658" w:type="dxa"/>
            <w:vAlign w:val="center"/>
          </w:tcPr>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9"/>
              <w:rPr>
                <w:rFonts w:hint="eastAsia" w:ascii="仿宋_GB2312" w:hAnsi="Times New Roman" w:eastAsia="仿宋_GB2312" w:cs="仿宋_GB2312"/>
                <w:i w:val="0"/>
                <w:iCs w:val="0"/>
                <w:caps w:val="0"/>
                <w:color w:val="000000"/>
                <w:spacing w:val="0"/>
                <w:sz w:val="32"/>
                <w:szCs w:val="32"/>
                <w:lang w:eastAsia="zh-CN"/>
              </w:rPr>
            </w:pPr>
            <w:r>
              <w:rPr>
                <w:rFonts w:hint="eastAsia" w:ascii="仿宋_GB2312" w:hAnsi="Times New Roman" w:eastAsia="仿宋_GB2312" w:cs="仿宋_GB2312"/>
                <w:i w:val="0"/>
                <w:iCs w:val="0"/>
                <w:caps w:val="0"/>
                <w:color w:val="000000"/>
                <w:spacing w:val="0"/>
                <w:sz w:val="32"/>
                <w:szCs w:val="32"/>
                <w:lang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color w:val="000000"/>
                <w:spacing w:val="0"/>
                <w:sz w:val="32"/>
                <w:szCs w:val="32"/>
                <w:highlight w:val="none"/>
                <w:lang w:val="en-US" w:eastAsia="zh-CN"/>
              </w:rPr>
              <w:t>《贵州省农作物种子条例》</w:t>
            </w:r>
          </w:p>
        </w:tc>
        <w:tc>
          <w:tcPr>
            <w:tcW w:w="3606"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9" w:firstLineChars="0"/>
              <w:jc w:val="both"/>
              <w:textAlignment w:val="auto"/>
              <w:rPr>
                <w:rFonts w:hint="eastAsia" w:ascii="仿宋_GB2312" w:hAnsi="Times New Roman" w:eastAsia="仿宋_GB2312" w:cs="仿宋_GB2312"/>
                <w:i w:val="0"/>
                <w:iCs w:val="0"/>
                <w:caps w:val="0"/>
                <w:color w:val="000000"/>
                <w:spacing w:val="0"/>
                <w:kern w:val="2"/>
                <w:sz w:val="32"/>
                <w:szCs w:val="32"/>
                <w:lang w:val="en-US" w:eastAsia="zh-CN" w:bidi="ar-SA"/>
              </w:rPr>
            </w:pPr>
            <w:r>
              <w:rPr>
                <w:rFonts w:hint="eastAsia" w:ascii="黑体" w:hAnsi="宋体" w:eastAsia="黑体" w:cs="黑体"/>
                <w:b w:val="0"/>
                <w:bCs w:val="0"/>
                <w:i w:val="0"/>
                <w:iCs w:val="0"/>
                <w:caps w:val="0"/>
                <w:color w:val="000000"/>
                <w:spacing w:val="0"/>
                <w:sz w:val="32"/>
                <w:szCs w:val="32"/>
              </w:rPr>
              <w:t>第四十四条</w:t>
            </w:r>
            <w:r>
              <w:rPr>
                <w:rFonts w:hint="eastAsia" w:ascii="仿宋_GB2312" w:hAnsi="Times New Roman" w:eastAsia="仿宋_GB2312" w:cs="仿宋_GB2312"/>
                <w:i w:val="0"/>
                <w:iCs w:val="0"/>
                <w:caps w:val="0"/>
                <w:color w:val="000000"/>
                <w:spacing w:val="0"/>
                <w:sz w:val="32"/>
                <w:szCs w:val="32"/>
              </w:rPr>
              <w:t>　</w:t>
            </w:r>
            <w:r>
              <w:rPr>
                <w:rFonts w:hint="eastAsia" w:ascii="仿宋_GB2312" w:hAnsi="宋体" w:eastAsia="仿宋_GB2312" w:cs="仿宋_GB2312"/>
                <w:i w:val="0"/>
                <w:iCs w:val="0"/>
                <w:caps w:val="0"/>
                <w:color w:val="000000"/>
                <w:spacing w:val="0"/>
                <w:kern w:val="0"/>
                <w:sz w:val="32"/>
                <w:szCs w:val="32"/>
                <w:lang w:val="en-US" w:eastAsia="zh-CN" w:bidi="ar-SA"/>
              </w:rPr>
              <w:t>县级以上人民政府应当支持优势种业企业整合育种力量和资源，促进技术、人才、资源、设备、资金等要素向企业集聚，在规划选址、用地保障等方面给予政策支持；对承接国家制种大县、区域性良种繁育基地的企业，在种子收储、加工技术改造等方面给予项目和金融支持。</w:t>
            </w:r>
          </w:p>
        </w:tc>
        <w:tc>
          <w:tcPr>
            <w:tcW w:w="3658" w:type="dxa"/>
            <w:vAlign w:val="top"/>
          </w:tcPr>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i w:val="0"/>
                <w:iCs w:val="0"/>
                <w:caps w:val="0"/>
                <w:color w:val="000000"/>
                <w:spacing w:val="0"/>
                <w:kern w:val="2"/>
                <w:sz w:val="32"/>
                <w:szCs w:val="32"/>
                <w:lang w:val="en-US" w:eastAsia="zh-CN" w:bidi="ar-SA"/>
              </w:rPr>
            </w:pPr>
            <w:r>
              <w:rPr>
                <w:rFonts w:hint="eastAsia" w:ascii="黑体" w:hAnsi="宋体" w:eastAsia="黑体" w:cs="黑体"/>
                <w:b w:val="0"/>
                <w:bCs w:val="0"/>
                <w:i w:val="0"/>
                <w:iCs w:val="0"/>
                <w:caps w:val="0"/>
                <w:color w:val="000000"/>
                <w:spacing w:val="0"/>
                <w:sz w:val="32"/>
                <w:szCs w:val="32"/>
              </w:rPr>
              <w:t>第四十四条</w:t>
            </w:r>
            <w:r>
              <w:rPr>
                <w:rFonts w:hint="eastAsia" w:ascii="仿宋_GB2312" w:hAnsi="Times New Roman" w:eastAsia="仿宋_GB2312" w:cs="仿宋_GB2312"/>
                <w:i w:val="0"/>
                <w:iCs w:val="0"/>
                <w:caps w:val="0"/>
                <w:color w:val="000000"/>
                <w:spacing w:val="0"/>
                <w:sz w:val="32"/>
                <w:szCs w:val="32"/>
              </w:rPr>
              <w:t>　县级以上人民政府应当支持</w:t>
            </w:r>
            <w:r>
              <w:rPr>
                <w:rFonts w:hint="eastAsia" w:ascii="仿宋_GB2312" w:hAnsi="Times New Roman" w:eastAsia="仿宋_GB2312" w:cs="仿宋_GB2312"/>
                <w:i w:val="0"/>
                <w:iCs w:val="0"/>
                <w:caps w:val="0"/>
                <w:strike w:val="0"/>
                <w:dstrike/>
                <w:color w:val="000000"/>
                <w:spacing w:val="0"/>
                <w:sz w:val="32"/>
                <w:szCs w:val="32"/>
              </w:rPr>
              <w:t>优势</w:t>
            </w:r>
            <w:r>
              <w:rPr>
                <w:rFonts w:hint="eastAsia" w:ascii="仿宋_GB2312" w:hAnsi="Times New Roman" w:eastAsia="仿宋_GB2312" w:cs="仿宋_GB2312"/>
                <w:i w:val="0"/>
                <w:iCs w:val="0"/>
                <w:caps w:val="0"/>
                <w:color w:val="000000"/>
                <w:spacing w:val="0"/>
                <w:sz w:val="32"/>
                <w:szCs w:val="32"/>
              </w:rPr>
              <w:t>种业企业整合育种力量和资源，促进技术、人才、资源、设备、资金等要素向企业集聚，在规划选址、用地保障等方面给予政策支持；对</w:t>
            </w:r>
            <w:r>
              <w:rPr>
                <w:rFonts w:hint="eastAsia" w:ascii="仿宋_GB2312" w:hAnsi="Times New Roman" w:eastAsia="仿宋_GB2312" w:cs="仿宋_GB2312"/>
                <w:i w:val="0"/>
                <w:iCs w:val="0"/>
                <w:caps w:val="0"/>
                <w:strike w:val="0"/>
                <w:dstrike/>
                <w:color w:val="000000"/>
                <w:spacing w:val="0"/>
                <w:sz w:val="32"/>
                <w:szCs w:val="32"/>
              </w:rPr>
              <w:t>承接</w:t>
            </w:r>
            <w:r>
              <w:rPr>
                <w:rFonts w:hint="eastAsia" w:ascii="仿宋_GB2312" w:hAnsi="Times New Roman" w:eastAsia="仿宋_GB2312" w:cs="仿宋_GB2312"/>
                <w:i w:val="0"/>
                <w:iCs w:val="0"/>
                <w:caps w:val="0"/>
                <w:color w:val="000000"/>
                <w:spacing w:val="0"/>
                <w:sz w:val="32"/>
                <w:szCs w:val="32"/>
              </w:rPr>
              <w:t>国家制种大县、区域性良种繁育基地</w:t>
            </w:r>
            <w:r>
              <w:rPr>
                <w:rFonts w:hint="eastAsia" w:ascii="仿宋_GB2312" w:hAnsi="Times New Roman" w:eastAsia="仿宋_GB2312" w:cs="仿宋_GB2312"/>
                <w:i w:val="0"/>
                <w:iCs w:val="0"/>
                <w:caps w:val="0"/>
                <w:strike w:val="0"/>
                <w:dstrike/>
                <w:color w:val="000000"/>
                <w:spacing w:val="0"/>
                <w:sz w:val="32"/>
                <w:szCs w:val="32"/>
              </w:rPr>
              <w:t>的企业，在种子收储、加工技术改造等方面给予项目和金融支持</w:t>
            </w:r>
            <w:r>
              <w:rPr>
                <w:rFonts w:hint="eastAsia" w:ascii="黑体" w:hAnsi="黑体" w:eastAsia="黑体" w:cs="黑体"/>
                <w:i w:val="0"/>
                <w:iCs w:val="0"/>
                <w:caps w:val="0"/>
                <w:color w:val="000000"/>
                <w:spacing w:val="0"/>
                <w:sz w:val="32"/>
                <w:szCs w:val="32"/>
                <w:lang w:eastAsia="zh-CN"/>
              </w:rPr>
              <w:t>给予扶持</w:t>
            </w:r>
            <w:r>
              <w:rPr>
                <w:rFonts w:hint="eastAsia" w:ascii="仿宋_GB2312" w:hAnsi="Times New Roman" w:eastAsia="仿宋_GB2312" w:cs="仿宋_GB2312"/>
                <w:i w:val="0"/>
                <w:iCs w:val="0"/>
                <w:caps w:val="0"/>
                <w:color w:val="000000"/>
                <w:spacing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restart"/>
            <w:vAlign w:val="center"/>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《贵州省茶产业发展条例》</w:t>
            </w:r>
          </w:p>
        </w:tc>
        <w:tc>
          <w:tcPr>
            <w:tcW w:w="3606"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第十四条</w:t>
            </w:r>
            <w:r>
              <w:rPr>
                <w:rFonts w:hint="eastAsia" w:ascii="仿宋_GB2312" w:hAnsi="Times New Roman" w:eastAsia="仿宋_GB2312" w:cs="仿宋_GB2312"/>
                <w:i w:val="0"/>
                <w:iCs w:val="0"/>
                <w:caps w:val="0"/>
                <w:color w:val="000000"/>
                <w:spacing w:val="0"/>
                <w:sz w:val="32"/>
                <w:szCs w:val="32"/>
              </w:rPr>
              <w:t>　茶树种植企业、农民专业合作经济组织应当建立茶树种植生产记录档案，如实记载下列事项：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(一)使用肥料、农药等农业投入品的名称、生产企业、来源、数量、使用地点、用法和使用日期;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(二)茶树种植基地病虫草害的发生和防治情况;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(三)茶树鲜叶的采摘日期、产量。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leftChars="0" w:right="0" w:rightChars="0" w:firstLine="632" w:firstLineChars="0"/>
              <w:jc w:val="both"/>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Times New Roman" w:eastAsia="仿宋_GB2312" w:cs="仿宋_GB2312"/>
                <w:i w:val="0"/>
                <w:iCs w:val="0"/>
                <w:caps w:val="0"/>
                <w:color w:val="000000"/>
                <w:spacing w:val="0"/>
                <w:sz w:val="32"/>
                <w:szCs w:val="32"/>
              </w:rPr>
              <w:t>茶树种植生产记录应当保存二年。禁止伪造茶树种植生产记录。</w:t>
            </w:r>
          </w:p>
        </w:tc>
        <w:tc>
          <w:tcPr>
            <w:tcW w:w="3658"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第十四条</w:t>
            </w:r>
            <w:r>
              <w:rPr>
                <w:rFonts w:hint="eastAsia" w:ascii="仿宋_GB2312" w:hAnsi="Times New Roman" w:eastAsia="仿宋_GB2312" w:cs="仿宋_GB2312"/>
                <w:i w:val="0"/>
                <w:iCs w:val="0"/>
                <w:caps w:val="0"/>
                <w:color w:val="000000"/>
                <w:spacing w:val="0"/>
                <w:sz w:val="32"/>
                <w:szCs w:val="32"/>
              </w:rPr>
              <w:t>　茶树种植企业、农民专业合作经济组织</w:t>
            </w:r>
            <w:r>
              <w:rPr>
                <w:rFonts w:hint="eastAsia" w:ascii="黑体" w:hAnsi="黑体" w:eastAsia="黑体" w:cs="黑体"/>
                <w:b w:val="0"/>
                <w:bCs w:val="0"/>
                <w:i w:val="0"/>
                <w:iCs w:val="0"/>
                <w:caps w:val="0"/>
                <w:color w:val="000000"/>
                <w:spacing w:val="0"/>
                <w:sz w:val="32"/>
                <w:szCs w:val="32"/>
                <w:lang w:eastAsia="zh-CN"/>
              </w:rPr>
              <w:t>、农业社会化服务组织</w:t>
            </w:r>
            <w:r>
              <w:rPr>
                <w:rFonts w:hint="eastAsia" w:ascii="仿宋_GB2312" w:hAnsi="Times New Roman" w:eastAsia="仿宋_GB2312" w:cs="仿宋_GB2312"/>
                <w:i w:val="0"/>
                <w:iCs w:val="0"/>
                <w:caps w:val="0"/>
                <w:color w:val="000000"/>
                <w:spacing w:val="0"/>
                <w:sz w:val="32"/>
                <w:szCs w:val="32"/>
              </w:rPr>
              <w:t>应当建立茶树种植生产记录档案，如实记载下列事项：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(一)使用肥料、农药等农业投入品的名称、生产企业、来源、数量、使用地点、用法和使用日期;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(二)茶树种植基地病虫草害的发生和防治情况;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(三)茶树鲜叶的采摘日期、产量。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i w:val="0"/>
                <w:iCs w:val="0"/>
                <w:caps w:val="0"/>
                <w:color w:val="000000"/>
                <w:spacing w:val="0"/>
                <w:kern w:val="2"/>
                <w:sz w:val="32"/>
                <w:szCs w:val="32"/>
                <w:lang w:val="en-US" w:eastAsia="zh-CN" w:bidi="ar-SA"/>
              </w:rPr>
            </w:pPr>
            <w:r>
              <w:rPr>
                <w:rFonts w:hint="eastAsia" w:ascii="仿宋_GB2312" w:hAnsi="Times New Roman" w:eastAsia="仿宋_GB2312" w:cs="仿宋_GB2312"/>
                <w:i w:val="0"/>
                <w:iCs w:val="0"/>
                <w:caps w:val="0"/>
                <w:color w:val="000000"/>
                <w:spacing w:val="0"/>
                <w:sz w:val="32"/>
                <w:szCs w:val="32"/>
              </w:rPr>
              <w:t>茶树种植生产记录应当</w:t>
            </w:r>
            <w:r>
              <w:rPr>
                <w:rFonts w:hint="eastAsia" w:ascii="黑体" w:hAnsi="黑体" w:eastAsia="黑体" w:cs="黑体"/>
                <w:b w:val="0"/>
                <w:bCs w:val="0"/>
                <w:i w:val="0"/>
                <w:iCs w:val="0"/>
                <w:caps w:val="0"/>
                <w:color w:val="000000"/>
                <w:spacing w:val="0"/>
                <w:sz w:val="32"/>
                <w:szCs w:val="32"/>
                <w:lang w:eastAsia="zh-CN"/>
              </w:rPr>
              <w:t>至少</w:t>
            </w:r>
            <w:r>
              <w:rPr>
                <w:rFonts w:hint="eastAsia" w:ascii="仿宋_GB2312" w:hAnsi="Times New Roman" w:eastAsia="仿宋_GB2312" w:cs="仿宋_GB2312"/>
                <w:i w:val="0"/>
                <w:iCs w:val="0"/>
                <w:caps w:val="0"/>
                <w:color w:val="000000"/>
                <w:spacing w:val="0"/>
                <w:sz w:val="32"/>
                <w:szCs w:val="32"/>
              </w:rPr>
              <w:t>保存二年。禁止伪造</w:t>
            </w:r>
            <w:r>
              <w:rPr>
                <w:rFonts w:hint="eastAsia" w:ascii="黑体" w:hAnsi="黑体" w:eastAsia="黑体" w:cs="黑体"/>
                <w:b w:val="0"/>
                <w:bCs w:val="0"/>
                <w:sz w:val="32"/>
                <w:szCs w:val="32"/>
              </w:rPr>
              <w:t>、变造</w:t>
            </w:r>
            <w:r>
              <w:rPr>
                <w:rFonts w:hint="eastAsia" w:ascii="仿宋_GB2312" w:hAnsi="Times New Roman" w:eastAsia="仿宋_GB2312" w:cs="仿宋_GB2312"/>
                <w:i w:val="0"/>
                <w:iCs w:val="0"/>
                <w:caps w:val="0"/>
                <w:color w:val="000000"/>
                <w:spacing w:val="0"/>
                <w:sz w:val="32"/>
                <w:szCs w:val="32"/>
              </w:rPr>
              <w:t>茶树种植生产记录。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spacing w:val="0"/>
                <w:sz w:val="32"/>
                <w:szCs w:val="32"/>
                <w:highlight w:val="none"/>
                <w:lang w:val="en-US" w:eastAsia="zh-CN"/>
              </w:rPr>
            </w:pPr>
          </w:p>
        </w:tc>
        <w:tc>
          <w:tcPr>
            <w:tcW w:w="0" w:type="auto"/>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第二十五条</w:t>
            </w:r>
            <w:r>
              <w:rPr>
                <w:rFonts w:hint="eastAsia" w:ascii="仿宋_GB2312" w:hAnsi="Times New Roman" w:eastAsia="仿宋_GB2312" w:cs="仿宋_GB2312"/>
                <w:i w:val="0"/>
                <w:iCs w:val="0"/>
                <w:caps w:val="0"/>
                <w:color w:val="000000"/>
                <w:spacing w:val="0"/>
                <w:sz w:val="32"/>
                <w:szCs w:val="32"/>
              </w:rPr>
              <w:t>　茶树种植企业、茶叶加工企业、农民专业合作经济组织和家庭农场等生产经营主体，应当建立茶树鲜叶质量安全自检制度，定期对茶叶加工生产状况进行检查评价，建立茶叶加工记录档案，如实记载下列事项：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(一)茶树鲜叶的品种、等级、数量、进场(厂)时间，以及供货者名称、地址、联系方式等内容，并保存相关凭证;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(二)生产的茶种类、等级、数量、入库时间、出库时间、贮存条件等。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leftChars="0" w:right="0" w:rightChars="0" w:firstLine="632" w:firstLineChars="0"/>
              <w:jc w:val="both"/>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Times New Roman" w:eastAsia="仿宋_GB2312" w:cs="仿宋_GB2312"/>
                <w:i w:val="0"/>
                <w:iCs w:val="0"/>
                <w:caps w:val="0"/>
                <w:color w:val="000000"/>
                <w:spacing w:val="0"/>
                <w:sz w:val="32"/>
                <w:szCs w:val="32"/>
              </w:rPr>
              <w:t>茶叶加工记录和凭证保存期限不得少于茶产品保质期满后一年。禁止伪造茶叶加工记录。</w:t>
            </w:r>
          </w:p>
        </w:tc>
        <w:tc>
          <w:tcPr>
            <w:tcW w:w="0" w:type="auto"/>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第二十五条</w:t>
            </w:r>
            <w:r>
              <w:rPr>
                <w:rFonts w:hint="eastAsia" w:ascii="仿宋_GB2312" w:hAnsi="Times New Roman" w:eastAsia="仿宋_GB2312" w:cs="仿宋_GB2312"/>
                <w:i w:val="0"/>
                <w:iCs w:val="0"/>
                <w:caps w:val="0"/>
                <w:color w:val="000000"/>
                <w:spacing w:val="0"/>
                <w:sz w:val="32"/>
                <w:szCs w:val="32"/>
              </w:rPr>
              <w:t>　茶树种植企业、茶叶加工企业、农民专业合作经济组织和家庭农场等生产经营主体，应当建立茶树鲜叶质量安全自检制度，定期对茶叶加工生产状况进行检查评价，建立茶叶加工</w:t>
            </w:r>
            <w:r>
              <w:rPr>
                <w:rFonts w:hint="eastAsia" w:ascii="黑体" w:hAnsi="黑体" w:eastAsia="黑体" w:cs="黑体"/>
                <w:b w:val="0"/>
                <w:bCs w:val="0"/>
                <w:i w:val="0"/>
                <w:iCs w:val="0"/>
                <w:caps w:val="0"/>
                <w:color w:val="000000"/>
                <w:spacing w:val="0"/>
                <w:sz w:val="32"/>
                <w:szCs w:val="32"/>
                <w:lang w:eastAsia="zh-CN"/>
              </w:rPr>
              <w:t>生产</w:t>
            </w:r>
            <w:r>
              <w:rPr>
                <w:rFonts w:hint="eastAsia" w:ascii="仿宋_GB2312" w:hAnsi="Times New Roman" w:eastAsia="仿宋_GB2312" w:cs="仿宋_GB2312"/>
                <w:i w:val="0"/>
                <w:iCs w:val="0"/>
                <w:caps w:val="0"/>
                <w:color w:val="000000"/>
                <w:spacing w:val="0"/>
                <w:sz w:val="32"/>
                <w:szCs w:val="32"/>
              </w:rPr>
              <w:t>记录档案，如实记载下列事项：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(一)茶树鲜叶的品种、等级、数量、进场(厂)时间，以及供货者名称、地址、联系方式等内容，并保存相关凭证;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仿宋_GB2312" w:hAnsi="Times New Roman" w:eastAsia="仿宋_GB2312" w:cs="仿宋_GB2312"/>
                <w:i w:val="0"/>
                <w:iCs w:val="0"/>
                <w:caps w:val="0"/>
                <w:color w:val="000000"/>
                <w:spacing w:val="0"/>
                <w:sz w:val="32"/>
                <w:szCs w:val="32"/>
              </w:rPr>
              <w:t>(二)生产的茶种类、等级、数量、入库时间、出库时间、贮存条件等。</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i w:val="0"/>
                <w:iCs w:val="0"/>
                <w:caps w:val="0"/>
                <w:color w:val="000000"/>
                <w:spacing w:val="0"/>
                <w:kern w:val="2"/>
                <w:sz w:val="32"/>
                <w:szCs w:val="32"/>
                <w:lang w:val="en-US" w:eastAsia="zh-CN" w:bidi="ar-SA"/>
              </w:rPr>
            </w:pPr>
            <w:r>
              <w:rPr>
                <w:rFonts w:hint="eastAsia" w:ascii="仿宋_GB2312" w:hAnsi="Times New Roman" w:eastAsia="仿宋_GB2312" w:cs="仿宋_GB2312"/>
                <w:i w:val="0"/>
                <w:iCs w:val="0"/>
                <w:caps w:val="0"/>
                <w:color w:val="000000"/>
                <w:spacing w:val="0"/>
                <w:sz w:val="32"/>
                <w:szCs w:val="32"/>
              </w:rPr>
              <w:t>茶叶加工</w:t>
            </w:r>
            <w:r>
              <w:rPr>
                <w:rFonts w:hint="eastAsia" w:ascii="黑体" w:hAnsi="黑体" w:eastAsia="黑体" w:cs="黑体"/>
                <w:b w:val="0"/>
                <w:bCs w:val="0"/>
                <w:i w:val="0"/>
                <w:iCs w:val="0"/>
                <w:caps w:val="0"/>
                <w:color w:val="000000"/>
                <w:spacing w:val="0"/>
                <w:sz w:val="32"/>
                <w:szCs w:val="32"/>
                <w:lang w:eastAsia="zh-CN"/>
              </w:rPr>
              <w:t>生产</w:t>
            </w:r>
            <w:r>
              <w:rPr>
                <w:rFonts w:hint="eastAsia" w:ascii="仿宋_GB2312" w:hAnsi="Times New Roman" w:eastAsia="仿宋_GB2312" w:cs="仿宋_GB2312"/>
                <w:i w:val="0"/>
                <w:iCs w:val="0"/>
                <w:caps w:val="0"/>
                <w:color w:val="000000"/>
                <w:spacing w:val="0"/>
                <w:sz w:val="32"/>
                <w:szCs w:val="32"/>
              </w:rPr>
              <w:t>记录和凭证保存期限不得少于茶产品保质期满后</w:t>
            </w:r>
            <w:r>
              <w:rPr>
                <w:rFonts w:hint="eastAsia" w:ascii="仿宋_GB2312" w:hAnsi="Times New Roman" w:eastAsia="仿宋_GB2312" w:cs="仿宋_GB2312"/>
                <w:i w:val="0"/>
                <w:iCs w:val="0"/>
                <w:caps w:val="0"/>
                <w:strike w:val="0"/>
                <w:dstrike/>
                <w:color w:val="000000"/>
                <w:spacing w:val="0"/>
                <w:sz w:val="32"/>
                <w:szCs w:val="32"/>
              </w:rPr>
              <w:t>一年</w:t>
            </w:r>
            <w:r>
              <w:rPr>
                <w:rFonts w:hint="eastAsia" w:ascii="黑体" w:hAnsi="黑体" w:eastAsia="黑体" w:cs="黑体"/>
                <w:b w:val="0"/>
                <w:bCs w:val="0"/>
                <w:i w:val="0"/>
                <w:iCs w:val="0"/>
                <w:caps w:val="0"/>
                <w:strike w:val="0"/>
                <w:dstrike w:val="0"/>
                <w:color w:val="000000"/>
                <w:spacing w:val="0"/>
                <w:sz w:val="32"/>
                <w:szCs w:val="32"/>
                <w:lang w:eastAsia="zh-CN"/>
              </w:rPr>
              <w:t>六个月</w:t>
            </w:r>
            <w:r>
              <w:rPr>
                <w:rFonts w:hint="eastAsia" w:ascii="仿宋_GB2312" w:hAnsi="Times New Roman" w:eastAsia="仿宋_GB2312" w:cs="仿宋_GB2312"/>
                <w:i w:val="0"/>
                <w:iCs w:val="0"/>
                <w:caps w:val="0"/>
                <w:color w:val="000000"/>
                <w:spacing w:val="0"/>
                <w:sz w:val="32"/>
                <w:szCs w:val="32"/>
              </w:rPr>
              <w:t>。禁止伪造</w:t>
            </w:r>
            <w:r>
              <w:rPr>
                <w:rFonts w:hint="eastAsia" w:ascii="黑体" w:hAnsi="黑体" w:eastAsia="黑体" w:cs="黑体"/>
                <w:b w:val="0"/>
                <w:bCs w:val="0"/>
                <w:sz w:val="32"/>
                <w:szCs w:val="32"/>
              </w:rPr>
              <w:t>、变造</w:t>
            </w:r>
            <w:r>
              <w:rPr>
                <w:rFonts w:hint="eastAsia" w:ascii="仿宋_GB2312" w:hAnsi="Times New Roman" w:eastAsia="仿宋_GB2312" w:cs="仿宋_GB2312"/>
                <w:i w:val="0"/>
                <w:iCs w:val="0"/>
                <w:caps w:val="0"/>
                <w:color w:val="000000"/>
                <w:spacing w:val="0"/>
                <w:sz w:val="32"/>
                <w:szCs w:val="32"/>
              </w:rPr>
              <w:t>茶叶加工</w:t>
            </w:r>
            <w:r>
              <w:rPr>
                <w:rFonts w:hint="eastAsia" w:ascii="黑体" w:hAnsi="黑体" w:eastAsia="黑体" w:cs="黑体"/>
                <w:b w:val="0"/>
                <w:bCs w:val="0"/>
                <w:i w:val="0"/>
                <w:iCs w:val="0"/>
                <w:caps w:val="0"/>
                <w:color w:val="000000"/>
                <w:spacing w:val="0"/>
                <w:sz w:val="32"/>
                <w:szCs w:val="32"/>
                <w:lang w:eastAsia="zh-CN"/>
              </w:rPr>
              <w:t>生产</w:t>
            </w:r>
            <w:r>
              <w:rPr>
                <w:rFonts w:hint="eastAsia" w:ascii="仿宋_GB2312" w:hAnsi="Times New Roman" w:eastAsia="仿宋_GB2312" w:cs="仿宋_GB2312"/>
                <w:i w:val="0"/>
                <w:iCs w:val="0"/>
                <w:caps w:val="0"/>
                <w:color w:val="000000"/>
                <w:spacing w:val="0"/>
                <w:sz w:val="32"/>
                <w:szCs w:val="32"/>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spacing w:val="0"/>
                <w:sz w:val="32"/>
                <w:szCs w:val="32"/>
                <w:highlight w:val="none"/>
                <w:lang w:val="en-US" w:eastAsia="zh-CN"/>
              </w:rPr>
            </w:pPr>
          </w:p>
        </w:tc>
        <w:tc>
          <w:tcPr>
            <w:tcW w:w="0" w:type="auto"/>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rPr>
              <w:t>第五十五条</w:t>
            </w:r>
            <w:r>
              <w:rPr>
                <w:rFonts w:hint="eastAsia" w:ascii="仿宋_GB2312" w:hAnsi="Times New Roman" w:eastAsia="仿宋_GB2312" w:cs="仿宋_GB2312"/>
                <w:i w:val="0"/>
                <w:iCs w:val="0"/>
                <w:caps w:val="0"/>
                <w:color w:val="000000"/>
                <w:spacing w:val="0"/>
                <w:sz w:val="32"/>
                <w:szCs w:val="32"/>
              </w:rPr>
              <w:t>　违反本条例第十四条规定，茶树种植企业、农民专业合作经济组织未建立或者未按照规定保存生产记录的，或者伪造生产记录的，由县级人民政府农业农村行政主管部门责令限期改正;逾期不改正的，可处以2000元以下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leftChars="0" w:right="0" w:rightChars="0" w:firstLine="632" w:firstLineChars="0"/>
              <w:jc w:val="both"/>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hAnsi="Times New Roman" w:eastAsia="仿宋_GB2312" w:cs="仿宋_GB2312"/>
                <w:i w:val="0"/>
                <w:iCs w:val="0"/>
                <w:caps w:val="0"/>
                <w:color w:val="000000"/>
                <w:spacing w:val="0"/>
                <w:sz w:val="32"/>
                <w:szCs w:val="32"/>
              </w:rPr>
              <w:t>违反本条例第二十五条规定，茶叶加工者未建立或者未按照规定保存加工记录的，或者伪造加工记录的，由县级人民政府市场监督管理行政主管部门责令限期改正;逾期不改正的，可处以2000元以下罚款。</w:t>
            </w:r>
          </w:p>
        </w:tc>
        <w:tc>
          <w:tcPr>
            <w:tcW w:w="0" w:type="auto"/>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32"/>
              <w:jc w:val="both"/>
              <w:textAlignment w:val="auto"/>
              <w:rPr>
                <w:rFonts w:hint="default" w:ascii="仿宋_GB2312" w:hAnsi="Times New Roman" w:eastAsia="仿宋_GB2312" w:cs="仿宋_GB2312"/>
                <w:i w:val="0"/>
                <w:iCs w:val="0"/>
                <w:caps w:val="0"/>
                <w:strike w:val="0"/>
                <w:dstrike/>
                <w:color w:val="000000"/>
                <w:spacing w:val="0"/>
                <w:kern w:val="2"/>
                <w:sz w:val="32"/>
                <w:szCs w:val="32"/>
                <w:lang w:val="en-US" w:eastAsia="zh-CN" w:bidi="ar-SA"/>
              </w:rPr>
            </w:pPr>
            <w:r>
              <w:rPr>
                <w:rFonts w:hint="eastAsia" w:ascii="黑体" w:hAnsi="宋体" w:eastAsia="黑体" w:cs="黑体"/>
                <w:b w:val="0"/>
                <w:bCs w:val="0"/>
                <w:i w:val="0"/>
                <w:iCs w:val="0"/>
                <w:caps w:val="0"/>
                <w:color w:val="000000"/>
                <w:spacing w:val="0"/>
                <w:sz w:val="32"/>
                <w:szCs w:val="32"/>
              </w:rPr>
              <w:t>第五十五条</w:t>
            </w:r>
            <w:r>
              <w:rPr>
                <w:rFonts w:hint="eastAsia" w:ascii="黑体" w:hAnsi="宋体" w:eastAsia="黑体" w:cs="黑体"/>
                <w:b w:val="0"/>
                <w:bCs w:val="0"/>
                <w:i w:val="0"/>
                <w:iCs w:val="0"/>
                <w:caps w:val="0"/>
                <w:color w:val="000000"/>
                <w:spacing w:val="0"/>
                <w:sz w:val="32"/>
                <w:szCs w:val="32"/>
                <w:lang w:val="en-US" w:eastAsia="zh-CN"/>
              </w:rPr>
              <w:t xml:space="preserve">  </w:t>
            </w:r>
            <w:r>
              <w:rPr>
                <w:rFonts w:hint="eastAsia" w:ascii="仿宋_GB2312" w:hAnsi="Times New Roman" w:eastAsia="仿宋_GB2312" w:cs="仿宋_GB2312"/>
                <w:i w:val="0"/>
                <w:iCs w:val="0"/>
                <w:caps w:val="0"/>
                <w:strike w:val="0"/>
                <w:dstrike/>
                <w:color w:val="000000"/>
                <w:spacing w:val="0"/>
                <w:kern w:val="2"/>
                <w:sz w:val="32"/>
                <w:szCs w:val="32"/>
                <w:lang w:val="en-US" w:eastAsia="zh-CN" w:bidi="ar-SA"/>
              </w:rPr>
              <w:t>违反本条例第十四条规定，茶树种植企业、农民专业合作经济组织未建立或者未按照规定保存生产记录的，或者伪造生产记录的，由县级人民政府农业农村行政主管部门责令限期改正;逾期不改正的，可处以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i w:val="0"/>
                <w:iCs w:val="0"/>
                <w:caps w:val="0"/>
                <w:strike w:val="0"/>
                <w:dstrike/>
                <w:color w:val="000000"/>
                <w:spacing w:val="0"/>
                <w:kern w:val="2"/>
                <w:sz w:val="32"/>
                <w:szCs w:val="32"/>
                <w:lang w:val="en-US" w:eastAsia="zh-CN" w:bidi="ar-SA"/>
              </w:rPr>
            </w:pPr>
            <w:r>
              <w:rPr>
                <w:rFonts w:hint="eastAsia" w:ascii="仿宋_GB2312" w:hAnsi="Times New Roman" w:eastAsia="仿宋_GB2312" w:cs="仿宋_GB2312"/>
                <w:i w:val="0"/>
                <w:iCs w:val="0"/>
                <w:caps w:val="0"/>
                <w:strike w:val="0"/>
                <w:dstrike/>
                <w:color w:val="000000"/>
                <w:spacing w:val="0"/>
                <w:kern w:val="2"/>
                <w:sz w:val="32"/>
                <w:szCs w:val="32"/>
                <w:lang w:val="en-US" w:eastAsia="zh-CN" w:bidi="ar-SA"/>
              </w:rPr>
              <w:t>违反本条例第二十五条规定，茶叶加工者未建立或者未按照规定保存加工记录的，或者伪造加工记录的，由县级人民政府市场监督管理行政主管部门责令限期改正;逾期不改正的，可处以2000元以下罚款。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000000"/>
                <w:spacing w:val="0"/>
                <w:kern w:val="2"/>
                <w:sz w:val="32"/>
                <w:szCs w:val="32"/>
                <w:lang w:val="en-US" w:eastAsia="zh-CN" w:bidi="ar-SA"/>
              </w:rPr>
            </w:pPr>
            <w:r>
              <w:rPr>
                <w:rFonts w:hint="eastAsia" w:ascii="黑体" w:hAnsi="黑体" w:eastAsia="黑体" w:cs="黑体"/>
                <w:b w:val="0"/>
                <w:bCs w:val="0"/>
                <w:i w:val="0"/>
                <w:iCs w:val="0"/>
                <w:caps w:val="0"/>
                <w:color w:val="000000"/>
                <w:spacing w:val="0"/>
                <w:kern w:val="2"/>
                <w:sz w:val="32"/>
                <w:szCs w:val="32"/>
                <w:lang w:val="en-US" w:eastAsia="zh-CN" w:bidi="ar-SA"/>
              </w:rPr>
              <w:t>违反本条例第十四条规定，茶树种植企业、农民专业合作经济组织、农业社会化服务组织未建立或者未按照规定保存生产记录的，或者伪造、变造生产记录的，由县级人民政府农业农村行政主管部门责令限期改正；逾期不改正的，处以二千元以上二万元以下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0"/>
              <w:jc w:val="both"/>
              <w:textAlignment w:val="auto"/>
              <w:rPr>
                <w:rFonts w:hint="eastAsia" w:ascii="仿宋_GB2312" w:hAnsi="Times New Roman" w:eastAsia="黑体" w:cs="仿宋_GB2312"/>
                <w:i w:val="0"/>
                <w:iCs w:val="0"/>
                <w:caps w:val="0"/>
                <w:color w:val="000000"/>
                <w:spacing w:val="0"/>
                <w:kern w:val="2"/>
                <w:sz w:val="32"/>
                <w:szCs w:val="32"/>
                <w:lang w:val="en-US" w:eastAsia="zh-CN" w:bidi="ar-SA"/>
              </w:rPr>
            </w:pPr>
            <w:r>
              <w:rPr>
                <w:rFonts w:hint="eastAsia" w:ascii="黑体" w:hAnsi="黑体" w:eastAsia="黑体" w:cs="黑体"/>
                <w:b w:val="0"/>
                <w:bCs w:val="0"/>
                <w:i w:val="0"/>
                <w:iCs w:val="0"/>
                <w:caps w:val="0"/>
                <w:color w:val="000000"/>
                <w:spacing w:val="0"/>
                <w:kern w:val="2"/>
                <w:sz w:val="32"/>
                <w:szCs w:val="32"/>
                <w:lang w:val="en-US" w:eastAsia="zh-CN" w:bidi="ar-SA"/>
              </w:rPr>
              <w:t>违反本条例第二十五条规定，茶叶加工者未建立或者未按照规定保存加工生产记录的，或者伪造、变造加工生产记录的，由县级人民政府市场监督管理行政主管部门责令限期改正；逾期不改正的，处以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restart"/>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《贵州省优化营商环境条例》</w:t>
            </w:r>
          </w:p>
        </w:tc>
        <w:tc>
          <w:tcPr>
            <w:tcW w:w="0" w:type="auto"/>
            <w:vAlign w:val="top"/>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kern w:val="0"/>
                <w:sz w:val="32"/>
                <w:szCs w:val="32"/>
              </w:rPr>
            </w:pPr>
            <w:r>
              <w:rPr>
                <w:rFonts w:hint="eastAsia" w:ascii="黑体" w:hAnsi="黑体" w:eastAsia="黑体"/>
                <w:kern w:val="0"/>
                <w:sz w:val="32"/>
                <w:szCs w:val="32"/>
              </w:rPr>
              <w:t xml:space="preserve">第二十六条  </w:t>
            </w:r>
            <w:r>
              <w:rPr>
                <w:rFonts w:hint="eastAsia" w:ascii="仿宋_GB2312" w:eastAsia="仿宋_GB2312"/>
                <w:kern w:val="0"/>
                <w:sz w:val="32"/>
                <w:szCs w:val="32"/>
              </w:rPr>
              <w:t>鼓励和引导各类金融机构在符合国家金融政策的前提下,增加对</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中小微企业的信贷投放,合理增加中长期贷款和信用贷款支持。建立</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中小微企业服务绿色通道,进一步优化流程,提高服务效率,降低</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中小微企业融资成本。</w:t>
            </w:r>
            <w:r>
              <w:rPr>
                <w:rFonts w:hint="eastAsia" w:ascii="仿宋_GB2312" w:hAnsi="黑体" w:eastAsia="仿宋_GB2312"/>
                <w:kern w:val="0"/>
                <w:sz w:val="32"/>
                <w:szCs w:val="32"/>
              </w:rPr>
              <w:t>禁止在民营企业、中小微企业融资中违法违规附加费用、搭售产品。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鼓励有条件的市州人民政府建立完善企业融资综合服务平台,通过有效整合市场监管、海关、司法、税务、不动产登记、水电气、公积金、社会保险等涉企信用信息,为</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中小微企业提供融资综合信用服务。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0"/>
              <w:jc w:val="both"/>
              <w:textAlignment w:val="auto"/>
              <w:rPr>
                <w:rFonts w:hint="eastAsia" w:ascii="仿宋_GB2312" w:hAnsi="宋体" w:eastAsia="仿宋_GB2312" w:cs="仿宋_GB2312"/>
                <w:i w:val="0"/>
                <w:iCs w:val="0"/>
                <w:caps w:val="0"/>
                <w:color w:val="000000"/>
                <w:spacing w:val="0"/>
                <w:kern w:val="0"/>
                <w:sz w:val="32"/>
                <w:szCs w:val="32"/>
                <w:lang w:val="en-US" w:eastAsia="zh-CN" w:bidi="ar-SA"/>
              </w:rPr>
            </w:pPr>
            <w:r>
              <w:rPr>
                <w:rFonts w:hint="eastAsia" w:ascii="仿宋_GB2312" w:eastAsia="仿宋_GB2312"/>
                <w:kern w:val="0"/>
                <w:sz w:val="32"/>
                <w:szCs w:val="32"/>
              </w:rPr>
              <w:t>金融机构应当规范服务及收费行为,不得向市场主体违规收取服务费用,不得转嫁依法依规应当由金融机构承担的费用。</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kern w:val="0"/>
                <w:sz w:val="32"/>
                <w:szCs w:val="32"/>
              </w:rPr>
            </w:pPr>
            <w:r>
              <w:rPr>
                <w:rFonts w:hint="eastAsia" w:ascii="黑体" w:hAnsi="黑体" w:eastAsia="黑体"/>
                <w:kern w:val="0"/>
                <w:sz w:val="32"/>
                <w:szCs w:val="32"/>
              </w:rPr>
              <w:t xml:space="preserve">第二十六条  </w:t>
            </w:r>
            <w:r>
              <w:rPr>
                <w:rFonts w:hint="eastAsia" w:ascii="仿宋_GB2312" w:eastAsia="仿宋_GB2312"/>
                <w:kern w:val="0"/>
                <w:sz w:val="32"/>
                <w:szCs w:val="32"/>
              </w:rPr>
              <w:t>鼓励和引导各类金融机构在符合国家金融政策的前提下,增加对</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中小微企业的信贷投放,合理增加中长期贷款和信用贷款支持。建立</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中小微企业服务绿色通道,进一步优化流程,提高服务效率,降低</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中小微企业融资成本。</w:t>
            </w:r>
            <w:r>
              <w:rPr>
                <w:rFonts w:hint="eastAsia" w:ascii="仿宋_GB2312" w:hAnsi="黑体" w:eastAsia="仿宋_GB2312"/>
                <w:kern w:val="0"/>
                <w:sz w:val="32"/>
                <w:szCs w:val="32"/>
              </w:rPr>
              <w:t>禁止在民营企业、中小微企业融资中违法违规附加费用、搭售产品。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strike w:val="0"/>
                <w:dstrike/>
                <w:kern w:val="0"/>
                <w:sz w:val="32"/>
                <w:szCs w:val="32"/>
              </w:rPr>
              <w:t>鼓励有条件的市州人民政府</w:t>
            </w:r>
            <w:r>
              <w:rPr>
                <w:rFonts w:hint="eastAsia" w:ascii="仿宋_GB2312" w:eastAsia="仿宋_GB2312"/>
                <w:kern w:val="0"/>
                <w:sz w:val="32"/>
                <w:szCs w:val="32"/>
              </w:rPr>
              <w:t>建立完善</w:t>
            </w:r>
            <w:r>
              <w:rPr>
                <w:rFonts w:hint="eastAsia" w:ascii="仿宋_GB2312" w:eastAsia="仿宋_GB2312"/>
                <w:strike w:val="0"/>
                <w:dstrike/>
                <w:kern w:val="0"/>
                <w:sz w:val="32"/>
                <w:szCs w:val="32"/>
              </w:rPr>
              <w:t>企业融资综合</w:t>
            </w:r>
            <w:r>
              <w:rPr>
                <w:rFonts w:hint="eastAsia" w:ascii="黑体" w:hAnsi="黑体" w:eastAsia="黑体" w:cs="黑体"/>
                <w:sz w:val="32"/>
                <w:szCs w:val="32"/>
                <w:vertAlign w:val="baseline"/>
                <w:lang w:val="en-US" w:eastAsia="zh-CN"/>
              </w:rPr>
              <w:t>综合金融</w:t>
            </w:r>
            <w:r>
              <w:rPr>
                <w:rFonts w:hint="eastAsia" w:ascii="仿宋_GB2312" w:eastAsia="仿宋_GB2312"/>
                <w:kern w:val="0"/>
                <w:sz w:val="32"/>
                <w:szCs w:val="32"/>
              </w:rPr>
              <w:t>服务平台,通过有效整合市场监管、海关、司法、税务、不动产登记、水电气、公积金、社会保险等涉企信用信息,为</w:t>
            </w:r>
            <w:r>
              <w:rPr>
                <w:rFonts w:hint="eastAsia" w:ascii="仿宋_GB2312" w:hAnsi="黑体" w:eastAsia="仿宋_GB2312"/>
                <w:kern w:val="0"/>
                <w:sz w:val="32"/>
                <w:szCs w:val="32"/>
              </w:rPr>
              <w:t>民营企业、</w:t>
            </w:r>
            <w:r>
              <w:rPr>
                <w:rFonts w:hint="eastAsia" w:ascii="仿宋_GB2312" w:eastAsia="仿宋_GB2312"/>
                <w:kern w:val="0"/>
                <w:sz w:val="32"/>
                <w:szCs w:val="32"/>
              </w:rPr>
              <w:t>中小微企业</w:t>
            </w:r>
            <w:r>
              <w:rPr>
                <w:rFonts w:hint="eastAsia" w:ascii="仿宋_GB2312" w:eastAsia="仿宋_GB2312"/>
                <w:strike w:val="0"/>
                <w:dstrike/>
                <w:kern w:val="0"/>
                <w:sz w:val="32"/>
                <w:szCs w:val="32"/>
              </w:rPr>
              <w:t>提供融资综合信用服务</w:t>
            </w:r>
            <w:r>
              <w:rPr>
                <w:rFonts w:hint="eastAsia" w:ascii="黑体" w:hAnsi="黑体" w:eastAsia="黑体" w:cs="黑体"/>
                <w:sz w:val="32"/>
                <w:szCs w:val="32"/>
                <w:vertAlign w:val="baseline"/>
                <w:lang w:val="en-US" w:eastAsia="zh-CN"/>
              </w:rPr>
              <w:t>等市场主体提供综合金融服务</w:t>
            </w:r>
            <w:r>
              <w:rPr>
                <w:rFonts w:hint="eastAsia" w:ascii="仿宋_GB2312" w:eastAsia="仿宋_GB2312"/>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i w:val="0"/>
                <w:iCs w:val="0"/>
                <w:caps w:val="0"/>
                <w:color w:val="000000"/>
                <w:spacing w:val="0"/>
                <w:kern w:val="2"/>
                <w:sz w:val="32"/>
                <w:szCs w:val="32"/>
                <w:lang w:val="en-US" w:eastAsia="zh-CN" w:bidi="ar-SA"/>
              </w:rPr>
            </w:pPr>
            <w:r>
              <w:rPr>
                <w:rFonts w:hint="eastAsia" w:ascii="仿宋_GB2312" w:eastAsia="仿宋_GB2312"/>
                <w:kern w:val="0"/>
                <w:sz w:val="32"/>
                <w:szCs w:val="32"/>
              </w:rPr>
              <w:t>金融机构应当规范服务及收费行为,不得向市场主体违规收取服务费用,不得转嫁依法依规应当由金融机构承担的费用。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6" w:type="dxa"/>
            <w:vMerge w:val="continue"/>
          </w:tcPr>
          <w:p>
            <w:pPr>
              <w:pStyle w:val="12"/>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spacing w:val="0"/>
                <w:sz w:val="32"/>
                <w:szCs w:val="32"/>
                <w:highlight w:val="none"/>
                <w:lang w:val="en-US" w:eastAsia="zh-CN"/>
              </w:rPr>
            </w:pPr>
          </w:p>
        </w:tc>
        <w:tc>
          <w:tcPr>
            <w:tcW w:w="0" w:type="auto"/>
            <w:vAlign w:val="top"/>
          </w:tcPr>
          <w:p>
            <w:pPr>
              <w:keepNext w:val="0"/>
              <w:keepLines w:val="0"/>
              <w:pageBreakBefore w:val="0"/>
              <w:widowControl w:val="0"/>
              <w:kinsoku/>
              <w:wordWrap/>
              <w:overflowPunct w:val="0"/>
              <w:topLinePunct w:val="0"/>
              <w:autoSpaceDE/>
              <w:autoSpaceDN/>
              <w:bidi w:val="0"/>
              <w:adjustRightInd/>
              <w:snapToGrid/>
              <w:spacing w:line="30" w:lineRule="atLeast"/>
              <w:ind w:left="0" w:leftChars="0" w:right="0" w:firstLine="640" w:firstLineChars="200"/>
              <w:textAlignment w:val="auto"/>
              <w:outlineLvl w:val="9"/>
              <w:rPr>
                <w:rFonts w:hint="eastAsia" w:ascii="仿宋_GB2312" w:eastAsia="仿宋_GB2312"/>
                <w:kern w:val="0"/>
                <w:sz w:val="32"/>
                <w:szCs w:val="32"/>
              </w:rPr>
            </w:pPr>
            <w:r>
              <w:rPr>
                <w:rFonts w:hint="eastAsia" w:ascii="黑体" w:hAnsi="黑体" w:eastAsia="黑体"/>
                <w:kern w:val="0"/>
                <w:sz w:val="32"/>
                <w:szCs w:val="32"/>
              </w:rPr>
              <w:t xml:space="preserve">第二十七条  </w:t>
            </w:r>
            <w:r>
              <w:rPr>
                <w:rFonts w:hint="eastAsia" w:ascii="仿宋_GB2312" w:eastAsia="仿宋_GB2312"/>
                <w:kern w:val="0"/>
                <w:sz w:val="32"/>
                <w:szCs w:val="32"/>
              </w:rPr>
              <w:t>县级以上人民政府应当大力发展政府性融资担保机构,建立信贷风险补偿机制和风险分担机制,</w:t>
            </w:r>
            <w:r>
              <w:rPr>
                <w:rFonts w:hint="eastAsia" w:ascii="仿宋_GB2312" w:eastAsia="仿宋_GB2312"/>
                <w:kern w:val="0"/>
                <w:sz w:val="32"/>
                <w:szCs w:val="32"/>
                <w:lang w:val="en-US" w:eastAsia="zh-CN"/>
              </w:rPr>
              <w:t>以</w:t>
            </w:r>
            <w:r>
              <w:rPr>
                <w:rFonts w:hint="eastAsia" w:ascii="仿宋_GB2312" w:eastAsia="仿宋_GB2312"/>
                <w:kern w:val="0"/>
                <w:sz w:val="32"/>
                <w:szCs w:val="32"/>
              </w:rPr>
              <w:t>提高政府性融资担保机构的担保能力</w:t>
            </w:r>
            <w:r>
              <w:rPr>
                <w:rFonts w:hint="eastAsia" w:ascii="仿宋_GB2312" w:eastAsia="仿宋_GB2312"/>
                <w:kern w:val="0"/>
                <w:sz w:val="32"/>
                <w:szCs w:val="32"/>
                <w:lang w:eastAsia="zh-CN"/>
              </w:rPr>
              <w:t>为目的，</w:t>
            </w:r>
            <w:r>
              <w:rPr>
                <w:rFonts w:hint="eastAsia" w:ascii="仿宋_GB2312" w:eastAsia="仿宋_GB2312"/>
                <w:kern w:val="0"/>
                <w:sz w:val="32"/>
                <w:szCs w:val="32"/>
              </w:rPr>
              <w:t>适当降低或者取消盈利考核评价要求,引导政府性融资担保机构扩大担保业务规模,提高抵（质）押物折扣率,降低担保费率。</w:t>
            </w:r>
          </w:p>
          <w:p>
            <w:pPr>
              <w:keepNext w:val="0"/>
              <w:keepLines w:val="0"/>
              <w:pageBreakBefore w:val="0"/>
              <w:widowControl w:val="0"/>
              <w:kinsoku/>
              <w:wordWrap/>
              <w:overflowPunct w:val="0"/>
              <w:topLinePunct w:val="0"/>
              <w:autoSpaceDE/>
              <w:autoSpaceDN/>
              <w:bidi w:val="0"/>
              <w:adjustRightInd/>
              <w:snapToGrid/>
              <w:spacing w:line="30" w:lineRule="atLeast"/>
              <w:ind w:left="0" w:leftChars="0" w:right="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支持政府性融资担保机构依法创新担保产品,扩大担保物范围,允许使用知识产权、股权、应收账款、产品订单、保单、存货、机器设备等资产进行抵（质）押。</w:t>
            </w:r>
          </w:p>
          <w:p>
            <w:pPr>
              <w:keepNext w:val="0"/>
              <w:keepLines w:val="0"/>
              <w:pageBreakBefore w:val="0"/>
              <w:widowControl w:val="0"/>
              <w:kinsoku/>
              <w:wordWrap/>
              <w:overflowPunct w:val="0"/>
              <w:topLinePunct w:val="0"/>
              <w:autoSpaceDE/>
              <w:autoSpaceDN/>
              <w:bidi w:val="0"/>
              <w:adjustRightInd/>
              <w:snapToGrid/>
              <w:spacing w:line="30" w:lineRule="atLeast"/>
              <w:ind w:left="0" w:leftChars="0" w:right="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支持区域性股权市场、小额贷款公司、融资担保公司、融资租赁公司等地方金融组织按照相关规定开发特色金融产品和服务。鼓励政府性融资担保、再担保机构与商业性融资担保机构合作开展中小微企业融资担保业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rightChars="0" w:firstLine="632" w:firstLineChars="0"/>
              <w:jc w:val="both"/>
              <w:textAlignment w:val="auto"/>
              <w:rPr>
                <w:rFonts w:hint="eastAsia" w:ascii="仿宋_GB2312" w:hAnsi="Times New Roman" w:eastAsia="仿宋_GB2312" w:cs="Times New Roman"/>
                <w:kern w:val="0"/>
                <w:sz w:val="32"/>
                <w:szCs w:val="32"/>
                <w:lang w:val="en-US" w:eastAsia="zh-CN" w:bidi="ar-SA"/>
              </w:rPr>
            </w:pPr>
          </w:p>
        </w:tc>
        <w:tc>
          <w:tcPr>
            <w:tcW w:w="0" w:type="auto"/>
            <w:vAlign w:val="top"/>
          </w:tcPr>
          <w:p>
            <w:pPr>
              <w:keepNext w:val="0"/>
              <w:keepLines w:val="0"/>
              <w:pageBreakBefore w:val="0"/>
              <w:widowControl w:val="0"/>
              <w:kinsoku/>
              <w:wordWrap/>
              <w:overflowPunct w:val="0"/>
              <w:topLinePunct w:val="0"/>
              <w:autoSpaceDE/>
              <w:autoSpaceDN/>
              <w:bidi w:val="0"/>
              <w:adjustRightInd/>
              <w:snapToGrid/>
              <w:spacing w:line="30" w:lineRule="atLeast"/>
              <w:ind w:left="0" w:leftChars="0" w:right="0" w:firstLine="640" w:firstLineChars="200"/>
              <w:textAlignment w:val="auto"/>
              <w:outlineLvl w:val="9"/>
              <w:rPr>
                <w:rFonts w:hint="eastAsia" w:ascii="仿宋_GB2312" w:eastAsia="仿宋_GB2312"/>
                <w:strike w:val="0"/>
                <w:dstrike/>
                <w:kern w:val="0"/>
                <w:sz w:val="32"/>
                <w:szCs w:val="32"/>
              </w:rPr>
            </w:pPr>
            <w:r>
              <w:rPr>
                <w:rFonts w:hint="eastAsia" w:ascii="黑体" w:hAnsi="黑体" w:eastAsia="黑体"/>
                <w:kern w:val="0"/>
                <w:sz w:val="32"/>
                <w:szCs w:val="32"/>
              </w:rPr>
              <w:t>第二十七条</w:t>
            </w:r>
            <w:r>
              <w:rPr>
                <w:rFonts w:hint="eastAsia" w:ascii="仿宋_GB2312" w:eastAsia="仿宋_GB2312"/>
                <w:kern w:val="0"/>
                <w:sz w:val="32"/>
                <w:szCs w:val="32"/>
              </w:rPr>
              <w:t xml:space="preserve">  </w:t>
            </w:r>
            <w:r>
              <w:rPr>
                <w:rFonts w:hint="eastAsia" w:ascii="仿宋_GB2312" w:eastAsia="仿宋_GB2312"/>
                <w:strike w:val="0"/>
                <w:dstrike/>
                <w:kern w:val="0"/>
                <w:sz w:val="32"/>
                <w:szCs w:val="32"/>
              </w:rPr>
              <w:t>县级以上人民政府应当大力发展政府性融资担保机构,建立信贷风险补偿机制和风险分担机制,</w:t>
            </w:r>
            <w:r>
              <w:rPr>
                <w:rFonts w:hint="eastAsia" w:ascii="仿宋_GB2312" w:eastAsia="仿宋_GB2312"/>
                <w:strike w:val="0"/>
                <w:dstrike/>
                <w:kern w:val="0"/>
                <w:sz w:val="32"/>
                <w:szCs w:val="32"/>
                <w:lang w:val="en-US" w:eastAsia="zh-CN"/>
              </w:rPr>
              <w:t>以</w:t>
            </w:r>
            <w:r>
              <w:rPr>
                <w:rFonts w:hint="eastAsia" w:ascii="仿宋_GB2312" w:eastAsia="仿宋_GB2312"/>
                <w:strike w:val="0"/>
                <w:dstrike/>
                <w:kern w:val="0"/>
                <w:sz w:val="32"/>
                <w:szCs w:val="32"/>
              </w:rPr>
              <w:t>提高政府性融资担保机构的担保能力</w:t>
            </w:r>
            <w:r>
              <w:rPr>
                <w:rFonts w:hint="eastAsia" w:ascii="仿宋_GB2312" w:eastAsia="仿宋_GB2312"/>
                <w:strike w:val="0"/>
                <w:dstrike/>
                <w:kern w:val="0"/>
                <w:sz w:val="32"/>
                <w:szCs w:val="32"/>
                <w:lang w:eastAsia="zh-CN"/>
              </w:rPr>
              <w:t>为目的，</w:t>
            </w:r>
            <w:r>
              <w:rPr>
                <w:rFonts w:hint="eastAsia" w:ascii="仿宋_GB2312" w:eastAsia="仿宋_GB2312"/>
                <w:strike w:val="0"/>
                <w:dstrike/>
                <w:kern w:val="0"/>
                <w:sz w:val="32"/>
                <w:szCs w:val="32"/>
              </w:rPr>
              <w:t>适当降低或者取消盈利考核评价要求,引导政府性融资担保机构扩大担保业务规模,提高抵（质）押物折扣率,降低担保费率。</w:t>
            </w:r>
          </w:p>
          <w:p>
            <w:pPr>
              <w:keepNext w:val="0"/>
              <w:keepLines w:val="0"/>
              <w:pageBreakBefore w:val="0"/>
              <w:widowControl w:val="0"/>
              <w:kinsoku/>
              <w:wordWrap/>
              <w:overflowPunct w:val="0"/>
              <w:topLinePunct w:val="0"/>
              <w:autoSpaceDE/>
              <w:autoSpaceDN/>
              <w:bidi w:val="0"/>
              <w:adjustRightInd/>
              <w:snapToGrid/>
              <w:spacing w:line="30" w:lineRule="atLeast"/>
              <w:ind w:left="0" w:leftChars="0" w:right="0" w:firstLine="640" w:firstLineChars="200"/>
              <w:textAlignment w:val="auto"/>
              <w:outlineLvl w:val="9"/>
              <w:rPr>
                <w:rFonts w:hint="eastAsia" w:ascii="仿宋_GB2312" w:eastAsia="仿宋_GB2312"/>
                <w:kern w:val="0"/>
                <w:sz w:val="32"/>
                <w:szCs w:val="32"/>
              </w:rPr>
            </w:pPr>
            <w:r>
              <w:rPr>
                <w:rFonts w:hint="eastAsia" w:ascii="黑体" w:hAnsi="黑体" w:eastAsia="黑体" w:cs="黑体"/>
                <w:kern w:val="0"/>
                <w:sz w:val="32"/>
                <w:szCs w:val="32"/>
              </w:rPr>
              <w:t>县级以上人民政府</w:t>
            </w:r>
            <w:r>
              <w:rPr>
                <w:rFonts w:hint="eastAsia" w:ascii="黑体" w:hAnsi="黑体" w:eastAsia="黑体" w:cs="黑体"/>
                <w:kern w:val="0"/>
                <w:sz w:val="32"/>
                <w:szCs w:val="32"/>
                <w:lang w:eastAsia="zh-CN"/>
              </w:rPr>
              <w:t>应当</w:t>
            </w:r>
            <w:r>
              <w:rPr>
                <w:rFonts w:hint="eastAsia" w:ascii="黑体" w:hAnsi="黑体" w:eastAsia="黑体" w:cs="黑体"/>
                <w:kern w:val="0"/>
                <w:sz w:val="32"/>
                <w:szCs w:val="32"/>
              </w:rPr>
              <w:t>发挥政府性融资担保机构增信作用，建立担保风险补偿分担机制，弱化盈利考核评价要求，引导政府性融资担保机构扩大小微企业和“三农”担保业务规模，弱化抵（质）押物要求，降低担保费率。</w:t>
            </w:r>
          </w:p>
          <w:p>
            <w:pPr>
              <w:keepNext w:val="0"/>
              <w:keepLines w:val="0"/>
              <w:pageBreakBefore w:val="0"/>
              <w:widowControl w:val="0"/>
              <w:kinsoku/>
              <w:wordWrap/>
              <w:overflowPunct w:val="0"/>
              <w:topLinePunct w:val="0"/>
              <w:autoSpaceDE/>
              <w:autoSpaceDN/>
              <w:bidi w:val="0"/>
              <w:adjustRightInd/>
              <w:snapToGrid/>
              <w:spacing w:line="30" w:lineRule="atLeast"/>
              <w:ind w:left="0" w:leftChars="0" w:right="0" w:firstLine="640" w:firstLineChars="200"/>
              <w:textAlignment w:val="auto"/>
              <w:outlineLvl w:val="9"/>
              <w:rPr>
                <w:rFonts w:hint="eastAsia" w:ascii="仿宋_GB2312" w:eastAsia="仿宋_GB2312"/>
                <w:kern w:val="0"/>
                <w:sz w:val="32"/>
                <w:szCs w:val="32"/>
              </w:rPr>
            </w:pPr>
            <w:r>
              <w:rPr>
                <w:rFonts w:hint="eastAsia" w:ascii="仿宋_GB2312" w:eastAsia="仿宋_GB2312"/>
                <w:strike w:val="0"/>
                <w:dstrike/>
                <w:kern w:val="0"/>
                <w:sz w:val="32"/>
                <w:szCs w:val="32"/>
              </w:rPr>
              <w:t>支持政府性</w:t>
            </w:r>
            <w:r>
              <w:rPr>
                <w:rFonts w:hint="eastAsia" w:ascii="黑体" w:hAnsi="黑体" w:eastAsia="黑体" w:cs="黑体"/>
                <w:strike w:val="0"/>
                <w:dstrike w:val="0"/>
                <w:kern w:val="0"/>
                <w:sz w:val="32"/>
                <w:szCs w:val="32"/>
                <w:lang w:eastAsia="zh-CN"/>
              </w:rPr>
              <w:t>鼓励</w:t>
            </w:r>
            <w:r>
              <w:rPr>
                <w:rFonts w:hint="eastAsia" w:ascii="仿宋_GB2312" w:eastAsia="仿宋_GB2312"/>
                <w:kern w:val="0"/>
                <w:sz w:val="32"/>
                <w:szCs w:val="32"/>
              </w:rPr>
              <w:t>融资担保机构依法</w:t>
            </w:r>
            <w:bookmarkStart w:id="0" w:name="_GoBack"/>
            <w:r>
              <w:rPr>
                <w:rFonts w:hint="eastAsia" w:ascii="黑体" w:hAnsi="黑体" w:eastAsia="黑体" w:cs="黑体"/>
                <w:kern w:val="0"/>
                <w:sz w:val="32"/>
                <w:szCs w:val="32"/>
                <w:lang w:val="en-US" w:eastAsia="zh-CN"/>
              </w:rPr>
              <w:t>依规</w:t>
            </w:r>
            <w:bookmarkEnd w:id="0"/>
            <w:r>
              <w:rPr>
                <w:rFonts w:hint="eastAsia" w:ascii="仿宋_GB2312" w:eastAsia="仿宋_GB2312"/>
                <w:kern w:val="0"/>
                <w:sz w:val="32"/>
                <w:szCs w:val="32"/>
              </w:rPr>
              <w:t>创新担保产品，</w:t>
            </w:r>
            <w:r>
              <w:rPr>
                <w:rFonts w:hint="eastAsia" w:ascii="黑体" w:hAnsi="黑体" w:eastAsia="黑体" w:cs="黑体"/>
                <w:kern w:val="0"/>
                <w:sz w:val="32"/>
                <w:szCs w:val="32"/>
              </w:rPr>
              <w:t>探索</w:t>
            </w:r>
            <w:r>
              <w:rPr>
                <w:rFonts w:hint="eastAsia" w:ascii="仿宋_GB2312" w:eastAsia="仿宋_GB2312"/>
                <w:kern w:val="0"/>
                <w:sz w:val="32"/>
                <w:szCs w:val="32"/>
              </w:rPr>
              <w:t>扩大担保物范围，</w:t>
            </w:r>
            <w:r>
              <w:rPr>
                <w:rFonts w:hint="eastAsia" w:ascii="仿宋_GB2312" w:eastAsia="仿宋_GB2312"/>
                <w:strike w:val="0"/>
                <w:dstrike/>
                <w:kern w:val="0"/>
                <w:sz w:val="32"/>
                <w:szCs w:val="32"/>
              </w:rPr>
              <w:t>允许</w:t>
            </w:r>
            <w:r>
              <w:rPr>
                <w:rFonts w:hint="eastAsia" w:ascii="黑体" w:hAnsi="黑体" w:eastAsia="黑体" w:cs="黑体"/>
                <w:kern w:val="0"/>
                <w:sz w:val="32"/>
                <w:szCs w:val="32"/>
              </w:rPr>
              <w:t>创新</w:t>
            </w:r>
            <w:r>
              <w:rPr>
                <w:rFonts w:hint="eastAsia" w:ascii="仿宋_GB2312" w:eastAsia="仿宋_GB2312"/>
                <w:kern w:val="0"/>
                <w:sz w:val="32"/>
                <w:szCs w:val="32"/>
              </w:rPr>
              <w:t>使用知识产权、股权、应收账款、产品订单、保单、存货、机器设备等资产进行抵（质）押。</w:t>
            </w:r>
          </w:p>
          <w:p>
            <w:pPr>
              <w:keepNext w:val="0"/>
              <w:keepLines w:val="0"/>
              <w:pageBreakBefore w:val="0"/>
              <w:widowControl w:val="0"/>
              <w:kinsoku/>
              <w:wordWrap/>
              <w:overflowPunct w:val="0"/>
              <w:topLinePunct w:val="0"/>
              <w:autoSpaceDE/>
              <w:autoSpaceDN/>
              <w:bidi w:val="0"/>
              <w:adjustRightInd/>
              <w:snapToGrid/>
              <w:spacing w:line="30" w:lineRule="atLeas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eastAsia="仿宋_GB2312"/>
                <w:kern w:val="0"/>
                <w:sz w:val="32"/>
                <w:szCs w:val="32"/>
              </w:rPr>
              <w:t>支持区域性股权市场、小额贷款公司、融资担保公司、融资租赁公司等地方金融组织</w:t>
            </w:r>
            <w:r>
              <w:rPr>
                <w:rFonts w:hint="eastAsia" w:ascii="仿宋_GB2312" w:eastAsia="仿宋_GB2312"/>
                <w:strike w:val="0"/>
                <w:dstrike/>
                <w:kern w:val="0"/>
                <w:sz w:val="32"/>
                <w:szCs w:val="32"/>
              </w:rPr>
              <w:t>按照相关规定开发特色</w:t>
            </w:r>
            <w:r>
              <w:rPr>
                <w:rFonts w:hint="eastAsia" w:ascii="黑体" w:hAnsi="黑体" w:eastAsia="黑体" w:cs="黑体"/>
                <w:sz w:val="32"/>
                <w:szCs w:val="32"/>
                <w:vertAlign w:val="baseline"/>
                <w:lang w:val="en-US" w:eastAsia="zh-CN"/>
              </w:rPr>
              <w:t>依法依规完善相关</w:t>
            </w:r>
            <w:r>
              <w:rPr>
                <w:rFonts w:hint="eastAsia" w:ascii="仿宋_GB2312" w:eastAsia="仿宋_GB2312"/>
                <w:kern w:val="0"/>
                <w:sz w:val="32"/>
                <w:szCs w:val="32"/>
              </w:rPr>
              <w:t>金融产品和服务。鼓励政府性融资担保、再担保机构与商业性融资担保机构合作开展中小微企业融资担保业务。</w:t>
            </w:r>
          </w:p>
        </w:tc>
      </w:tr>
    </w:tbl>
    <w:p>
      <w:pPr>
        <w:rPr>
          <w:sz w:val="32"/>
          <w:szCs w:val="32"/>
        </w:rPr>
      </w:pPr>
    </w:p>
    <w:p>
      <w:pPr>
        <w:rPr>
          <w:sz w:val="32"/>
          <w:szCs w:val="32"/>
        </w:rPr>
      </w:pPr>
    </w:p>
    <w:p/>
    <w:sectPr>
      <w:headerReference r:id="rId3" w:type="default"/>
      <w:footerReference r:id="rId4" w:type="default"/>
      <w:pgSz w:w="11906" w:h="16838"/>
      <w:pgMar w:top="2098" w:right="1531" w:bottom="1984" w:left="1531" w:header="851" w:footer="1587" w:gutter="0"/>
      <w:pgNumType w:fmt="numberInDash" w:start="1"/>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100" o:spid="_x0000_s410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44"/>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F4DCE58"/>
    <w:rsid w:val="06FFCA3C"/>
    <w:rsid w:val="078636E7"/>
    <w:rsid w:val="0DB20D09"/>
    <w:rsid w:val="0DFFFF15"/>
    <w:rsid w:val="177F97ED"/>
    <w:rsid w:val="1B80312D"/>
    <w:rsid w:val="1BBF680E"/>
    <w:rsid w:val="1BF9DC41"/>
    <w:rsid w:val="1D9E2451"/>
    <w:rsid w:val="1DE36A5F"/>
    <w:rsid w:val="1E9B20C6"/>
    <w:rsid w:val="1F77A328"/>
    <w:rsid w:val="25BE30F8"/>
    <w:rsid w:val="29B97180"/>
    <w:rsid w:val="2AC7DF81"/>
    <w:rsid w:val="2BFF0A3A"/>
    <w:rsid w:val="2CA568CE"/>
    <w:rsid w:val="2D5269E7"/>
    <w:rsid w:val="2FF75DEF"/>
    <w:rsid w:val="2FFBDDED"/>
    <w:rsid w:val="35D54393"/>
    <w:rsid w:val="377D0505"/>
    <w:rsid w:val="37FAA795"/>
    <w:rsid w:val="3B3DEDB4"/>
    <w:rsid w:val="3BB6A7D7"/>
    <w:rsid w:val="3D2FB6A0"/>
    <w:rsid w:val="3E5B2B91"/>
    <w:rsid w:val="3ED7AD74"/>
    <w:rsid w:val="3EFF96EF"/>
    <w:rsid w:val="3F1F3A47"/>
    <w:rsid w:val="3F5DDE32"/>
    <w:rsid w:val="3FE3258C"/>
    <w:rsid w:val="3FFDD12E"/>
    <w:rsid w:val="40BB2693"/>
    <w:rsid w:val="42733C91"/>
    <w:rsid w:val="43D7CEFE"/>
    <w:rsid w:val="4BFD6DEC"/>
    <w:rsid w:val="4FAF5490"/>
    <w:rsid w:val="4FEFC10B"/>
    <w:rsid w:val="4FFFA82E"/>
    <w:rsid w:val="536A7BE8"/>
    <w:rsid w:val="569E7FF0"/>
    <w:rsid w:val="57BB6ABD"/>
    <w:rsid w:val="57BD6105"/>
    <w:rsid w:val="59FD12E9"/>
    <w:rsid w:val="5BEB9216"/>
    <w:rsid w:val="5BFF83D8"/>
    <w:rsid w:val="5DEFDAAD"/>
    <w:rsid w:val="5E65E7FD"/>
    <w:rsid w:val="5EBD816E"/>
    <w:rsid w:val="5F593173"/>
    <w:rsid w:val="5F7E659B"/>
    <w:rsid w:val="5FAF8BFD"/>
    <w:rsid w:val="5FBD9205"/>
    <w:rsid w:val="617AEF64"/>
    <w:rsid w:val="62BA37D0"/>
    <w:rsid w:val="63DE44B0"/>
    <w:rsid w:val="63FD6564"/>
    <w:rsid w:val="652F8FA2"/>
    <w:rsid w:val="65FFAACE"/>
    <w:rsid w:val="66BAC16D"/>
    <w:rsid w:val="67EFDDC2"/>
    <w:rsid w:val="67FF6A79"/>
    <w:rsid w:val="67FF74E8"/>
    <w:rsid w:val="69CEEFF0"/>
    <w:rsid w:val="6AFDDE23"/>
    <w:rsid w:val="6B7FE178"/>
    <w:rsid w:val="6BB64CE7"/>
    <w:rsid w:val="6BBF838E"/>
    <w:rsid w:val="6BFCD150"/>
    <w:rsid w:val="6CFFDC48"/>
    <w:rsid w:val="6DDFA004"/>
    <w:rsid w:val="6F7A6281"/>
    <w:rsid w:val="6F9D0C24"/>
    <w:rsid w:val="6FAF7901"/>
    <w:rsid w:val="6FD310D6"/>
    <w:rsid w:val="6FFE9047"/>
    <w:rsid w:val="73D38BBE"/>
    <w:rsid w:val="74AF4CFD"/>
    <w:rsid w:val="7577E639"/>
    <w:rsid w:val="75BC7C0D"/>
    <w:rsid w:val="7607758F"/>
    <w:rsid w:val="7649701C"/>
    <w:rsid w:val="76DF0F22"/>
    <w:rsid w:val="76EE4AAC"/>
    <w:rsid w:val="76F8F341"/>
    <w:rsid w:val="777D2DB2"/>
    <w:rsid w:val="77AD38FB"/>
    <w:rsid w:val="77B3893D"/>
    <w:rsid w:val="77EA5AD3"/>
    <w:rsid w:val="77F91C25"/>
    <w:rsid w:val="77FD1ECF"/>
    <w:rsid w:val="77FE61C6"/>
    <w:rsid w:val="77FF80C3"/>
    <w:rsid w:val="784F22D8"/>
    <w:rsid w:val="795FBF5E"/>
    <w:rsid w:val="79F7D3CC"/>
    <w:rsid w:val="7AC932FE"/>
    <w:rsid w:val="7B76CDD3"/>
    <w:rsid w:val="7BC96A0A"/>
    <w:rsid w:val="7BD5D3B5"/>
    <w:rsid w:val="7BEFA17A"/>
    <w:rsid w:val="7BFDD6D0"/>
    <w:rsid w:val="7CF0D3D6"/>
    <w:rsid w:val="7D77A154"/>
    <w:rsid w:val="7DDCF44A"/>
    <w:rsid w:val="7DDD35AE"/>
    <w:rsid w:val="7DF52AE0"/>
    <w:rsid w:val="7DFD09F9"/>
    <w:rsid w:val="7EAF52F7"/>
    <w:rsid w:val="7EC7ACBF"/>
    <w:rsid w:val="7EF78095"/>
    <w:rsid w:val="7EFF4948"/>
    <w:rsid w:val="7F0D50B3"/>
    <w:rsid w:val="7F4DCE58"/>
    <w:rsid w:val="7F6A7E20"/>
    <w:rsid w:val="7F79006E"/>
    <w:rsid w:val="7F8E5DB0"/>
    <w:rsid w:val="7FA6D6A8"/>
    <w:rsid w:val="7FC75B9E"/>
    <w:rsid w:val="7FD8FC09"/>
    <w:rsid w:val="7FDF9BCF"/>
    <w:rsid w:val="7FE117C8"/>
    <w:rsid w:val="7FED1188"/>
    <w:rsid w:val="7FEF34DC"/>
    <w:rsid w:val="7FF70BA3"/>
    <w:rsid w:val="7FFA62C0"/>
    <w:rsid w:val="7FFB2FD8"/>
    <w:rsid w:val="7FFCEEBF"/>
    <w:rsid w:val="7FFE3C0B"/>
    <w:rsid w:val="7FFE684E"/>
    <w:rsid w:val="7FFFDCD8"/>
    <w:rsid w:val="7FFFDD7C"/>
    <w:rsid w:val="85FE7946"/>
    <w:rsid w:val="8F7FFC8D"/>
    <w:rsid w:val="8FF33A91"/>
    <w:rsid w:val="995F505E"/>
    <w:rsid w:val="9AB7FFBB"/>
    <w:rsid w:val="9DFE3F7E"/>
    <w:rsid w:val="9FB70FFA"/>
    <w:rsid w:val="ABD7DC80"/>
    <w:rsid w:val="AE6FE3B6"/>
    <w:rsid w:val="AEBF6B42"/>
    <w:rsid w:val="AED71A48"/>
    <w:rsid w:val="AEF7D558"/>
    <w:rsid w:val="B7F4495B"/>
    <w:rsid w:val="B7FE67B5"/>
    <w:rsid w:val="B8774C85"/>
    <w:rsid w:val="BAEF08AD"/>
    <w:rsid w:val="BD6AD370"/>
    <w:rsid w:val="BECB9CDC"/>
    <w:rsid w:val="BFD90AC7"/>
    <w:rsid w:val="BFDF7FB1"/>
    <w:rsid w:val="CAA7D50A"/>
    <w:rsid w:val="CD77CDD9"/>
    <w:rsid w:val="CDD6139F"/>
    <w:rsid w:val="CDD7C219"/>
    <w:rsid w:val="D99A6B9A"/>
    <w:rsid w:val="D9CFE6A2"/>
    <w:rsid w:val="D9FF638E"/>
    <w:rsid w:val="DAFE650F"/>
    <w:rsid w:val="DBD69D8A"/>
    <w:rsid w:val="DBF240E4"/>
    <w:rsid w:val="DCCE4119"/>
    <w:rsid w:val="DDEF40E8"/>
    <w:rsid w:val="E5F7FD0F"/>
    <w:rsid w:val="E7DF4878"/>
    <w:rsid w:val="E9FBAAB6"/>
    <w:rsid w:val="EAF35071"/>
    <w:rsid w:val="EBB2A4B9"/>
    <w:rsid w:val="EBB53312"/>
    <w:rsid w:val="EBEB383E"/>
    <w:rsid w:val="EBFD6331"/>
    <w:rsid w:val="EBFF9D4B"/>
    <w:rsid w:val="EC0CA9A2"/>
    <w:rsid w:val="ED73F2D6"/>
    <w:rsid w:val="ED988989"/>
    <w:rsid w:val="EEBB144D"/>
    <w:rsid w:val="EF371B0A"/>
    <w:rsid w:val="EF5B51B2"/>
    <w:rsid w:val="EF7FC33A"/>
    <w:rsid w:val="EFB8BBC2"/>
    <w:rsid w:val="EFBBBBAD"/>
    <w:rsid w:val="EFEF6A20"/>
    <w:rsid w:val="EFF5ACF1"/>
    <w:rsid w:val="EFFF4338"/>
    <w:rsid w:val="EFFFCE70"/>
    <w:rsid w:val="F1FF7298"/>
    <w:rsid w:val="F1FF86F6"/>
    <w:rsid w:val="F375FBBA"/>
    <w:rsid w:val="F37B430D"/>
    <w:rsid w:val="F3BFDD0B"/>
    <w:rsid w:val="F3D64278"/>
    <w:rsid w:val="F6CF440F"/>
    <w:rsid w:val="F6DD94A8"/>
    <w:rsid w:val="F7666127"/>
    <w:rsid w:val="F7DDFCD4"/>
    <w:rsid w:val="F7DF3D21"/>
    <w:rsid w:val="F7DFBD43"/>
    <w:rsid w:val="FAFDF23F"/>
    <w:rsid w:val="FB3E7074"/>
    <w:rsid w:val="FB712177"/>
    <w:rsid w:val="FB77AF37"/>
    <w:rsid w:val="FB9D022D"/>
    <w:rsid w:val="FBAA73D6"/>
    <w:rsid w:val="FBBFC73D"/>
    <w:rsid w:val="FC6F1038"/>
    <w:rsid w:val="FCBCDF30"/>
    <w:rsid w:val="FCEFBAC3"/>
    <w:rsid w:val="FD7DDB5D"/>
    <w:rsid w:val="FDDF08AD"/>
    <w:rsid w:val="FDF55B4E"/>
    <w:rsid w:val="FDF80320"/>
    <w:rsid w:val="FDFB96A8"/>
    <w:rsid w:val="FDFF2BE3"/>
    <w:rsid w:val="FDFFC4DB"/>
    <w:rsid w:val="FE3AFD14"/>
    <w:rsid w:val="FEBB4764"/>
    <w:rsid w:val="FED55B9A"/>
    <w:rsid w:val="FEEBDDD6"/>
    <w:rsid w:val="FEF6A265"/>
    <w:rsid w:val="FEFF6AD5"/>
    <w:rsid w:val="FF4C5076"/>
    <w:rsid w:val="FF5F2BEF"/>
    <w:rsid w:val="FF7B97F9"/>
    <w:rsid w:val="FFA9FD37"/>
    <w:rsid w:val="FFAF384F"/>
    <w:rsid w:val="FFBF6483"/>
    <w:rsid w:val="FFBF6DD2"/>
    <w:rsid w:val="FFDEBABE"/>
    <w:rsid w:val="FFF606FB"/>
    <w:rsid w:val="FFF7ECB5"/>
    <w:rsid w:val="FFFB4D56"/>
    <w:rsid w:val="FFFFABD2"/>
    <w:rsid w:val="FFFFF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_GB231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44"/>
    </w:rPr>
  </w:style>
  <w:style w:type="paragraph" w:styleId="4">
    <w:name w:val="toc 5"/>
    <w:basedOn w:val="1"/>
    <w:next w:val="1"/>
    <w:qFormat/>
    <w:uiPriority w:val="99"/>
    <w:pPr>
      <w:ind w:left="168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公1"/>
    <w:basedOn w:val="13"/>
    <w:qFormat/>
    <w:uiPriority w:val="0"/>
    <w:pPr>
      <w:ind w:firstLine="200" w:firstLineChars="200"/>
    </w:pPr>
    <w:rPr>
      <w:rFonts w:ascii="Times New Roman" w:hAnsi="Times New Roman" w:eastAsia="宋体" w:cs="Times New Roman"/>
    </w:rPr>
  </w:style>
  <w:style w:type="paragraph" w:customStyle="1" w:styleId="13">
    <w:name w:val="正文1"/>
    <w:next w:val="12"/>
    <w:qFormat/>
    <w:uiPriority w:val="0"/>
    <w:pPr>
      <w:jc w:val="both"/>
    </w:pPr>
    <w:rPr>
      <w:rFonts w:ascii="Times New Roman" w:hAnsi="Times New Roman" w:eastAsia="宋体" w:cs="黑体"/>
      <w:sz w:val="21"/>
      <w:szCs w:val="22"/>
      <w:lang w:val="en-US" w:eastAsia="zh-CN" w:bidi="ar-SA"/>
    </w:rPr>
  </w:style>
  <w:style w:type="character" w:customStyle="1" w:styleId="1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5</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2024-08-06T09:53:00Z</dcterms:created>
  <dc:creator>ysgz</dc:creator>
  <cp:lastModifiedBy>ysgz</cp:lastModifiedBy>
  <cp:lastPrinted>2024-08-25T08:46:00Z</cp:lastPrinted>
  <dcterms:modified xsi:type="dcterms:W3CDTF">2024-08-29T14:33:59Z</dcterms:modified>
  <dc:title>关于征求《贵州省人民代表大会常务委员会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2E45FBEBA9BE4803965DC46690F63F47_43</vt:lpwstr>
  </property>
</Properties>
</file>