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overflowPunct w:val="0"/>
        <w:spacing w:beforeAutospacing="0" w:afterAutospacing="0" w:line="578" w:lineRule="exact"/>
        <w:jc w:val="center"/>
        <w:textAlignment w:val="auto"/>
        <w:outlineLvl w:val="9"/>
        <w:rPr>
          <w:rFonts w:hint="eastAsia" w:ascii="方正小标宋_GBK" w:hAnsi="方正小标宋_GBK" w:eastAsia="方正小标宋_GBK" w:cs="方正小标宋_GBK"/>
          <w:color w:val="auto"/>
          <w:sz w:val="44"/>
          <w:szCs w:val="44"/>
        </w:rPr>
      </w:pPr>
      <w:bookmarkStart w:id="33" w:name="_GoBack"/>
      <w:bookmarkEnd w:id="33"/>
    </w:p>
    <w:p>
      <w:pPr>
        <w:widowControl w:val="0"/>
        <w:wordWrap/>
        <w:overflowPunct w:val="0"/>
        <w:spacing w:beforeAutospacing="0" w:afterAutospacing="0" w:line="578" w:lineRule="exact"/>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贵州省工会条例（修订草案）</w:t>
      </w:r>
    </w:p>
    <w:p>
      <w:pPr>
        <w:widowControl w:val="0"/>
        <w:wordWrap/>
        <w:overflowPunct w:val="0"/>
        <w:spacing w:beforeAutospacing="0" w:afterAutospacing="0" w:line="578" w:lineRule="exact"/>
        <w:jc w:val="center"/>
        <w:textAlignment w:val="auto"/>
        <w:outlineLvl w:val="9"/>
        <w:rPr>
          <w:rFonts w:hint="eastAsia" w:ascii="楷体_GB2312" w:hAnsi="楷体_GB2312" w:eastAsia="楷体_GB2312" w:cs="楷体_GB2312"/>
          <w:b w:val="0"/>
          <w:bCs w:val="0"/>
          <w:color w:val="auto"/>
          <w:sz w:val="32"/>
          <w:szCs w:val="32"/>
          <w:lang w:eastAsia="zh-CN"/>
        </w:rPr>
      </w:pPr>
      <w:bookmarkStart w:id="0" w:name="_Toc9601"/>
      <w:r>
        <w:rPr>
          <w:rFonts w:hint="eastAsia" w:ascii="楷体_GB2312" w:hAnsi="楷体_GB2312" w:eastAsia="楷体_GB2312" w:cs="楷体_GB2312"/>
          <w:b w:val="0"/>
          <w:bCs w:val="0"/>
          <w:color w:val="auto"/>
          <w:sz w:val="32"/>
          <w:szCs w:val="32"/>
          <w:lang w:eastAsia="zh-CN"/>
        </w:rPr>
        <w:t>（征求意见稿）</w:t>
      </w:r>
    </w:p>
    <w:p>
      <w:pPr>
        <w:widowControl w:val="0"/>
        <w:wordWrap/>
        <w:overflowPunct w:val="0"/>
        <w:spacing w:beforeAutospacing="0" w:afterAutospacing="0" w:line="578" w:lineRule="exact"/>
        <w:jc w:val="center"/>
        <w:textAlignment w:val="auto"/>
        <w:outlineLvl w:val="9"/>
        <w:rPr>
          <w:rFonts w:ascii="华文中宋" w:hAnsi="华文中宋" w:eastAsia="华文中宋" w:cs="华文中宋"/>
          <w:b/>
          <w:bCs/>
          <w:color w:val="auto"/>
          <w:sz w:val="32"/>
          <w:szCs w:val="32"/>
        </w:rPr>
      </w:pPr>
    </w:p>
    <w:p>
      <w:pPr>
        <w:widowControl w:val="0"/>
        <w:wordWrap/>
        <w:overflowPunct w:val="0"/>
        <w:adjustRightInd/>
        <w:snapToGrid/>
        <w:spacing w:beforeAutospacing="0" w:afterLines="100" w:afterAutospacing="0" w:line="578" w:lineRule="exact"/>
        <w:ind w:left="0" w:leftChars="0" w:right="0" w:firstLine="0" w:firstLineChars="0"/>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  录</w:t>
      </w:r>
    </w:p>
    <w:p>
      <w:pPr>
        <w:widowControl w:val="0"/>
        <w:wordWrap/>
        <w:overflowPunct w:val="0"/>
        <w:spacing w:beforeAutospacing="0" w:afterAutospacing="0" w:line="578" w:lineRule="exact"/>
        <w:ind w:firstLine="64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第一章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 xml:space="preserve">总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 xml:space="preserve"> 则</w:t>
      </w:r>
    </w:p>
    <w:p>
      <w:pPr>
        <w:widowControl w:val="0"/>
        <w:wordWrap/>
        <w:overflowPunct w:val="0"/>
        <w:spacing w:beforeAutospacing="0" w:afterAutospacing="0" w:line="578" w:lineRule="exact"/>
        <w:ind w:firstLine="64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第二章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工会组织</w:t>
      </w:r>
    </w:p>
    <w:p>
      <w:pPr>
        <w:widowControl w:val="0"/>
        <w:wordWrap/>
        <w:overflowPunct w:val="0"/>
        <w:spacing w:beforeAutospacing="0" w:afterAutospacing="0" w:line="578" w:lineRule="exact"/>
        <w:ind w:firstLine="64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第三章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工会的权利和义务</w:t>
      </w:r>
    </w:p>
    <w:p>
      <w:pPr>
        <w:widowControl w:val="0"/>
        <w:wordWrap/>
        <w:overflowPunct w:val="0"/>
        <w:spacing w:beforeAutospacing="0" w:afterAutospacing="0" w:line="578" w:lineRule="exact"/>
        <w:ind w:firstLine="64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第四章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工会的经费和财产</w:t>
      </w:r>
    </w:p>
    <w:p>
      <w:pPr>
        <w:widowControl w:val="0"/>
        <w:wordWrap/>
        <w:overflowPunct w:val="0"/>
        <w:spacing w:beforeAutospacing="0" w:afterAutospacing="0" w:line="578" w:lineRule="exact"/>
        <w:ind w:firstLine="64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第五章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 xml:space="preserve"> 法律责任</w:t>
      </w:r>
    </w:p>
    <w:p>
      <w:pPr>
        <w:widowControl w:val="0"/>
        <w:wordWrap/>
        <w:overflowPunct w:val="0"/>
        <w:spacing w:beforeAutospacing="0" w:afterAutospacing="0" w:line="578" w:lineRule="exact"/>
        <w:ind w:firstLine="64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第六章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 xml:space="preserve">附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则</w:t>
      </w:r>
    </w:p>
    <w:p>
      <w:pPr>
        <w:widowControl w:val="0"/>
        <w:wordWrap/>
        <w:overflowPunct w:val="0"/>
        <w:spacing w:beforeAutospacing="0" w:afterAutospacing="0" w:line="578" w:lineRule="exact"/>
        <w:jc w:val="center"/>
        <w:textAlignment w:val="auto"/>
        <w:outlineLvl w:val="9"/>
        <w:rPr>
          <w:rFonts w:ascii="黑体" w:hAnsi="黑体" w:eastAsia="黑体" w:cs="黑体"/>
          <w:color w:val="auto"/>
          <w:sz w:val="32"/>
          <w:szCs w:val="32"/>
        </w:rPr>
      </w:pPr>
    </w:p>
    <w:p>
      <w:pPr>
        <w:widowControl w:val="0"/>
        <w:wordWrap/>
        <w:overflowPunct w:val="0"/>
        <w:adjustRightInd/>
        <w:snapToGrid/>
        <w:spacing w:beforeAutospacing="0" w:afterLines="100" w:afterAutospacing="0" w:line="578" w:lineRule="exact"/>
        <w:ind w:left="0" w:leftChars="0" w:right="0" w:firstLine="0" w:firstLineChars="0"/>
        <w:jc w:val="center"/>
        <w:textAlignment w:val="auto"/>
        <w:outlineLvl w:val="9"/>
        <w:rPr>
          <w:rFonts w:ascii="华文中宋" w:hAnsi="华文中宋" w:eastAsia="华文中宋" w:cs="华文中宋"/>
          <w:color w:val="auto"/>
          <w:sz w:val="32"/>
          <w:szCs w:val="32"/>
        </w:rPr>
      </w:pPr>
      <w:r>
        <w:rPr>
          <w:rFonts w:hint="eastAsia" w:ascii="黑体" w:hAnsi="黑体" w:eastAsia="黑体" w:cs="黑体"/>
          <w:color w:val="auto"/>
          <w:sz w:val="32"/>
          <w:szCs w:val="32"/>
        </w:rPr>
        <w:t>第一章  总  则</w:t>
      </w:r>
      <w:bookmarkEnd w:id="0"/>
    </w:p>
    <w:p>
      <w:pPr>
        <w:widowControl w:val="0"/>
        <w:wordWrap/>
        <w:overflowPunct w:val="0"/>
        <w:spacing w:beforeAutospacing="0" w:afterAutospacing="0" w:line="578" w:lineRule="exact"/>
        <w:ind w:firstLine="640" w:firstLineChars="200"/>
        <w:textAlignment w:val="auto"/>
        <w:outlineLvl w:val="9"/>
        <w:rPr>
          <w:rFonts w:ascii="仿宋" w:hAnsi="仿宋" w:eastAsia="仿宋_GB2312" w:cs="仿宋"/>
          <w:color w:val="auto"/>
          <w:sz w:val="32"/>
          <w:szCs w:val="32"/>
        </w:rPr>
      </w:pPr>
      <w:bookmarkStart w:id="1" w:name="_Toc11929"/>
      <w:r>
        <w:rPr>
          <w:rFonts w:hint="eastAsia" w:ascii="黑体" w:hAnsi="黑体" w:eastAsia="黑体" w:cs="黑体"/>
          <w:color w:val="auto"/>
          <w:sz w:val="32"/>
          <w:szCs w:val="32"/>
        </w:rPr>
        <w:t>第一条</w:t>
      </w:r>
      <w:bookmarkEnd w:id="1"/>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为了保障工会</w:t>
      </w:r>
      <w:r>
        <w:rPr>
          <w:rFonts w:hint="eastAsia" w:ascii="仿宋_GB2312" w:hAnsi="黑体" w:eastAsia="仿宋_GB2312" w:cs="黑体"/>
          <w:color w:val="auto"/>
          <w:sz w:val="32"/>
          <w:szCs w:val="32"/>
        </w:rPr>
        <w:t>依法行使权利和履行义务</w:t>
      </w:r>
      <w:r>
        <w:rPr>
          <w:rFonts w:hint="eastAsia" w:ascii="仿宋_GB2312" w:hAnsi="仿宋_GB2312" w:eastAsia="仿宋_GB2312" w:cs="仿宋_GB2312"/>
          <w:color w:val="auto"/>
          <w:sz w:val="32"/>
          <w:szCs w:val="32"/>
        </w:rPr>
        <w:t>，发挥工会在</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中国式现代化贵州实践中的作用，根据《中华人民共和国工会法》等法律、行政法规的规定，结合本省实际，制定本条例。</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bookmarkStart w:id="2" w:name="_Toc10281"/>
      <w:r>
        <w:rPr>
          <w:rFonts w:hint="eastAsia" w:ascii="黑体" w:hAnsi="黑体" w:eastAsia="黑体" w:cs="黑体"/>
          <w:color w:val="auto"/>
          <w:sz w:val="32"/>
          <w:szCs w:val="32"/>
        </w:rPr>
        <w:t>第二条</w:t>
      </w:r>
      <w:bookmarkEnd w:id="2"/>
      <w:r>
        <w:rPr>
          <w:rFonts w:hint="eastAsia" w:ascii="黑体" w:hAnsi="黑体" w:eastAsia="黑体" w:cs="黑体"/>
          <w:color w:val="auto"/>
          <w:sz w:val="32"/>
          <w:szCs w:val="32"/>
        </w:rPr>
        <w:t xml:space="preserve"> </w:t>
      </w:r>
      <w:r>
        <w:rPr>
          <w:rFonts w:hint="eastAsia" w:ascii="仿宋_GB2312" w:hAnsi="黑体" w:eastAsia="仿宋_GB2312" w:cs="黑体"/>
          <w:color w:val="auto"/>
          <w:sz w:val="32"/>
          <w:szCs w:val="32"/>
        </w:rPr>
        <w:t xml:space="preserve"> 本条例适用于本省行政区域内的工会组织及其活动。</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bookmarkStart w:id="3" w:name="_Toc7716"/>
      <w:r>
        <w:rPr>
          <w:rFonts w:hint="eastAsia" w:ascii="黑体" w:hAnsi="黑体" w:eastAsia="黑体" w:cs="黑体"/>
          <w:color w:val="auto"/>
          <w:sz w:val="32"/>
          <w:szCs w:val="32"/>
        </w:rPr>
        <w:t>第三条</w:t>
      </w:r>
      <w:bookmarkEnd w:id="3"/>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工会是中国共产党领导的职工自愿结合的工人阶级群众组织，是中国共产党联系职工群众的桥梁和纽带，是社会主义国家政权的重要社会支柱，是职工利益的代表者和维护者。</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bookmarkStart w:id="4" w:name="_Toc28831"/>
      <w:r>
        <w:rPr>
          <w:rFonts w:hint="eastAsia" w:ascii="黑体" w:hAnsi="黑体" w:eastAsia="黑体" w:cs="黑体"/>
          <w:color w:val="auto"/>
          <w:sz w:val="32"/>
          <w:szCs w:val="32"/>
        </w:rPr>
        <w:t xml:space="preserve">第四条  </w:t>
      </w:r>
      <w:r>
        <w:rPr>
          <w:rFonts w:hint="eastAsia" w:ascii="仿宋_GB2312" w:hAnsi="黑体" w:eastAsia="仿宋_GB2312" w:cs="黑体"/>
          <w:color w:val="auto"/>
          <w:sz w:val="32"/>
          <w:szCs w:val="32"/>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中国工会章程》独立自主地开展工作。</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黑体" w:hAnsi="黑体" w:eastAsia="黑体" w:cs="黑体"/>
          <w:color w:val="auto"/>
          <w:sz w:val="32"/>
          <w:szCs w:val="32"/>
        </w:rPr>
        <w:t xml:space="preserve">第五条  </w:t>
      </w:r>
      <w:r>
        <w:rPr>
          <w:rFonts w:hint="eastAsia" w:ascii="仿宋_GB2312" w:hAnsi="黑体" w:eastAsia="仿宋_GB2312" w:cs="黑体"/>
          <w:color w:val="auto"/>
          <w:sz w:val="32"/>
          <w:szCs w:val="32"/>
        </w:rPr>
        <w:t>工会应当坚持正确政治方向，把广大职工和劳动群众紧紧团结在党的周围；坚持以职工为中心的工作导向，竭诚服务职工群众、促进职工全面发展；深化工会改革和建设，不断增强引领力、组织力、服务力。</w:t>
      </w:r>
    </w:p>
    <w:p>
      <w:pPr>
        <w:widowControl w:val="0"/>
        <w:wordWrap/>
        <w:overflowPunct w:val="0"/>
        <w:spacing w:beforeAutospacing="0" w:afterAutospacing="0" w:line="578" w:lineRule="exact"/>
        <w:ind w:firstLine="640" w:firstLineChars="200"/>
        <w:textAlignment w:val="auto"/>
        <w:outlineLvl w:val="9"/>
        <w:rPr>
          <w:rFonts w:hint="default"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rPr>
        <w:t>工会应当引导职工践行社会主义核心价</w:t>
      </w:r>
      <w:r>
        <w:rPr>
          <w:rFonts w:hint="eastAsia" w:ascii="仿宋_GB2312" w:hAnsi="仿宋_GB2312" w:eastAsia="仿宋_GB2312" w:cs="仿宋_GB2312"/>
          <w:color w:val="auto"/>
          <w:sz w:val="32"/>
          <w:szCs w:val="32"/>
        </w:rPr>
        <w:t>值观，弘扬</w:t>
      </w:r>
      <w:r>
        <w:rPr>
          <w:rFonts w:hint="eastAsia" w:ascii="仿宋_GB2312" w:hAnsi="仿宋_GB2312" w:eastAsia="仿宋_GB2312" w:cs="仿宋_GB2312"/>
          <w:color w:val="auto"/>
          <w:sz w:val="32"/>
          <w:szCs w:val="32"/>
          <w:lang w:val="en-US" w:eastAsia="zh-CN"/>
        </w:rPr>
        <w:t>长征精神、遵义会议精神、</w:t>
      </w:r>
      <w:r>
        <w:rPr>
          <w:rFonts w:hint="eastAsia" w:ascii="仿宋_GB2312" w:hAnsi="仿宋_GB2312" w:eastAsia="仿宋_GB2312" w:cs="仿宋_GB2312"/>
          <w:color w:val="auto"/>
          <w:sz w:val="32"/>
          <w:szCs w:val="32"/>
        </w:rPr>
        <w:t>劳模精神、劳动精神、工</w:t>
      </w:r>
      <w:r>
        <w:rPr>
          <w:rFonts w:hint="eastAsia" w:ascii="仿宋_GB2312" w:hAnsi="黑体" w:eastAsia="仿宋_GB2312" w:cs="黑体"/>
          <w:color w:val="auto"/>
          <w:sz w:val="32"/>
          <w:szCs w:val="32"/>
        </w:rPr>
        <w:t>匠精神，以国家主人翁态度对待劳动，助推贵州经济社会高质量发展。</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黑体" w:hAnsi="黑体" w:eastAsia="黑体" w:cs="黑体"/>
          <w:color w:val="auto"/>
          <w:sz w:val="32"/>
          <w:szCs w:val="32"/>
        </w:rPr>
        <w:t xml:space="preserve">第六条 </w:t>
      </w:r>
      <w:r>
        <w:rPr>
          <w:rFonts w:hint="eastAsia" w:ascii="仿宋_GB2312" w:hAnsi="黑体" w:eastAsia="仿宋_GB2312" w:cs="黑体"/>
          <w:color w:val="auto"/>
          <w:sz w:val="32"/>
          <w:szCs w:val="32"/>
        </w:rPr>
        <w:t xml:space="preserve"> 本省行政区域内的企业、事业单位、机关、社会组织（以下统称用人单位）中以工资收入为主要生活来源的劳动者，不分民族、种族、性别、职业、宗教信仰、教育程度，都有依法参加和组织工会的权利。任何组织和个人不得阻挠和限制。</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工会适应企业组织形式、职工队伍结构、劳动关系、就业形态等方面的发展变化，依法维护劳动者参加和组织工会的权利。</w:t>
      </w:r>
    </w:p>
    <w:bookmarkEnd w:id="4"/>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bookmarkStart w:id="5" w:name="_Toc32609"/>
      <w:r>
        <w:rPr>
          <w:rFonts w:hint="eastAsia" w:ascii="黑体" w:hAnsi="黑体" w:eastAsia="黑体" w:cs="黑体"/>
          <w:color w:val="auto"/>
          <w:sz w:val="32"/>
          <w:szCs w:val="32"/>
        </w:rPr>
        <w:t>第七条</w:t>
      </w:r>
      <w:r>
        <w:rPr>
          <w:rFonts w:ascii="黑体" w:hAnsi="黑体" w:eastAsia="黑体" w:cs="黑体"/>
          <w:color w:val="auto"/>
          <w:sz w:val="32"/>
          <w:szCs w:val="32"/>
        </w:rPr>
        <w:t xml:space="preserve">  </w:t>
      </w:r>
      <w:r>
        <w:rPr>
          <w:rFonts w:hint="eastAsia" w:ascii="仿宋_GB2312" w:hAnsi="黑体" w:eastAsia="仿宋_GB2312" w:cs="黑体"/>
          <w:color w:val="auto"/>
          <w:sz w:val="32"/>
          <w:szCs w:val="32"/>
        </w:rPr>
        <w:t>本省</w:t>
      </w:r>
      <w:r>
        <w:rPr>
          <w:rFonts w:hint="eastAsia" w:ascii="仿宋_GB2312" w:hAnsi="仿宋_GB2312" w:eastAsia="仿宋_GB2312" w:cs="仿宋_GB2312"/>
          <w:color w:val="auto"/>
          <w:sz w:val="32"/>
          <w:szCs w:val="32"/>
        </w:rPr>
        <w:t>加强对产业工人队伍建设改革的组织领导，强化统筹协调，明确有关部门和单位的责任，落实改革举措。</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工会推动企业落实培养产业工人的责任、提高产业工人技术技能水平，鼓励企业建立健全产业工人职业生涯指导计划，畅通产业工人成长成才和职业发展通道。</w:t>
      </w:r>
    </w:p>
    <w:bookmarkEnd w:id="5"/>
    <w:p>
      <w:pPr>
        <w:widowControl w:val="0"/>
        <w:wordWrap/>
        <w:overflowPunct w:val="0"/>
        <w:adjustRightInd/>
        <w:snapToGrid/>
        <w:spacing w:beforeLines="100" w:beforeAutospacing="0" w:afterLines="100" w:afterAutospacing="0" w:line="578" w:lineRule="exact"/>
        <w:ind w:left="0" w:leftChars="0" w:right="0" w:firstLine="0" w:firstLineChars="0"/>
        <w:jc w:val="center"/>
        <w:textAlignment w:val="auto"/>
        <w:outlineLvl w:val="9"/>
        <w:rPr>
          <w:rFonts w:ascii="微软雅黑" w:hAnsi="微软雅黑" w:eastAsia="微软雅黑" w:cs="微软雅黑"/>
          <w:b/>
          <w:bCs/>
          <w:color w:val="auto"/>
          <w:sz w:val="32"/>
          <w:szCs w:val="32"/>
        </w:rPr>
      </w:pPr>
      <w:bookmarkStart w:id="6" w:name="_Toc1481"/>
      <w:bookmarkStart w:id="7" w:name="_Toc26193"/>
      <w:r>
        <w:rPr>
          <w:rFonts w:hint="eastAsia" w:ascii="黑体" w:hAnsi="黑体" w:eastAsia="黑体" w:cs="黑体"/>
          <w:color w:val="auto"/>
          <w:sz w:val="32"/>
          <w:szCs w:val="32"/>
        </w:rPr>
        <w:t>第二章  工会组织</w:t>
      </w:r>
      <w:bookmarkEnd w:id="6"/>
      <w:bookmarkEnd w:id="7"/>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黑体" w:hAnsi="黑体" w:eastAsia="黑体" w:cs="黑体"/>
          <w:color w:val="auto"/>
          <w:sz w:val="32"/>
          <w:szCs w:val="32"/>
        </w:rPr>
        <w:t xml:space="preserve">第八条  </w:t>
      </w:r>
      <w:r>
        <w:rPr>
          <w:rFonts w:hint="eastAsia" w:ascii="仿宋_GB2312" w:hAnsi="黑体" w:eastAsia="仿宋_GB2312" w:cs="黑体"/>
          <w:color w:val="auto"/>
          <w:sz w:val="32"/>
          <w:szCs w:val="32"/>
        </w:rPr>
        <w:t>用人单位有会员二十五人以上的，应当建立基层工会委员会；不足二十五人的，可以单独建立基层工会委员会，也可以由两个以上单位的会员联合建立基层工会委员会，也可以选举组织员一人，组织会员开展活动。</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企业职工较多的乡镇、城市街道，可以建立基层工会的联合会。企业、社会组织较为集中的经济开发区、工业园区、科技园区、社区、行政村、楼宇、商圈等区域可以建立区域性工会联合会。</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同一行业或者性质相近的几个行业，可以根据需要建立地方产业工会或者行业性工会联合会。</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县级以上地方建立地方各级总工会。</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ascii="仿宋_GB2312" w:hAnsi="仿宋_GB2312" w:eastAsia="仿宋_GB2312" w:cs="仿宋_GB2312"/>
          <w:color w:val="auto"/>
          <w:sz w:val="32"/>
          <w:szCs w:val="32"/>
        </w:rPr>
        <w:t xml:space="preserve">  </w:t>
      </w:r>
      <w:r>
        <w:rPr>
          <w:rFonts w:hint="eastAsia" w:ascii="仿宋_GB2312" w:hAnsi="黑体" w:eastAsia="仿宋_GB2312" w:cs="黑体"/>
          <w:color w:val="auto"/>
          <w:sz w:val="32"/>
          <w:szCs w:val="32"/>
        </w:rPr>
        <w:t>用人单位应当支持、帮助职工依法建立工会。有会员二十五人以上的用人单位在开业或者设立之日起六个月内未建</w:t>
      </w:r>
      <w:r>
        <w:rPr>
          <w:rFonts w:hint="eastAsia" w:ascii="仿宋_GB2312" w:hAnsi="仿宋_GB2312" w:eastAsia="仿宋_GB2312" w:cs="仿宋_GB2312"/>
          <w:color w:val="auto"/>
          <w:sz w:val="32"/>
          <w:szCs w:val="32"/>
        </w:rPr>
        <w:t>立</w:t>
      </w:r>
      <w:r>
        <w:rPr>
          <w:rFonts w:hint="eastAsia" w:ascii="仿宋_GB2312" w:hAnsi="仿宋_GB2312" w:eastAsia="仿宋_GB2312" w:cs="仿宋_GB2312"/>
          <w:color w:val="auto"/>
          <w:sz w:val="32"/>
          <w:szCs w:val="32"/>
          <w:lang w:val="en-US" w:eastAsia="zh-CN"/>
        </w:rPr>
        <w:t>基层</w:t>
      </w:r>
      <w:r>
        <w:rPr>
          <w:rFonts w:hint="eastAsia" w:ascii="仿宋_GB2312" w:hAnsi="仿宋_GB2312" w:eastAsia="仿宋_GB2312" w:cs="仿宋_GB2312"/>
          <w:color w:val="auto"/>
          <w:sz w:val="32"/>
          <w:szCs w:val="32"/>
        </w:rPr>
        <w:t>工会</w:t>
      </w:r>
      <w:r>
        <w:rPr>
          <w:rFonts w:hint="eastAsia" w:ascii="仿宋_GB2312" w:hAnsi="仿宋_GB2312" w:eastAsia="仿宋_GB2312" w:cs="仿宋_GB2312"/>
          <w:color w:val="auto"/>
          <w:sz w:val="32"/>
          <w:szCs w:val="32"/>
          <w:lang w:val="en-US" w:eastAsia="zh-CN"/>
        </w:rPr>
        <w:t>委员会</w:t>
      </w:r>
      <w:r>
        <w:rPr>
          <w:rFonts w:hint="eastAsia" w:ascii="仿宋_GB2312" w:hAnsi="黑体" w:eastAsia="仿宋_GB2312" w:cs="黑体"/>
          <w:color w:val="auto"/>
          <w:sz w:val="32"/>
          <w:szCs w:val="32"/>
        </w:rPr>
        <w:t>的，上级工会应当派员帮助、指导工会</w:t>
      </w:r>
      <w:r>
        <w:rPr>
          <w:rFonts w:hint="eastAsia" w:ascii="仿宋_GB2312" w:hAnsi="仿宋_GB2312" w:eastAsia="仿宋_GB2312" w:cs="仿宋_GB2312"/>
          <w:color w:val="auto"/>
          <w:sz w:val="32"/>
          <w:szCs w:val="32"/>
          <w:lang w:val="en-US" w:eastAsia="zh-CN"/>
        </w:rPr>
        <w:t>委员会</w:t>
      </w:r>
      <w:r>
        <w:rPr>
          <w:rFonts w:hint="eastAsia" w:ascii="仿宋_GB2312" w:hAnsi="仿宋_GB2312" w:eastAsia="仿宋_GB2312" w:cs="仿宋_GB2312"/>
          <w:color w:val="auto"/>
          <w:sz w:val="32"/>
          <w:szCs w:val="32"/>
        </w:rPr>
        <w:t>组建</w:t>
      </w:r>
      <w:r>
        <w:rPr>
          <w:rFonts w:hint="eastAsia" w:ascii="仿宋_GB2312" w:hAnsi="黑体" w:eastAsia="仿宋_GB2312" w:cs="黑体"/>
          <w:color w:val="auto"/>
          <w:sz w:val="32"/>
          <w:szCs w:val="32"/>
        </w:rPr>
        <w:t>工作。任何单位和个人不得拖延、阻挠和干涉。</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dstrike/>
          <w:color w:val="auto"/>
          <w:sz w:val="32"/>
          <w:szCs w:val="32"/>
        </w:rPr>
      </w:pPr>
      <w:r>
        <w:rPr>
          <w:rFonts w:hint="eastAsia" w:ascii="仿宋_GB2312" w:hAnsi="仿宋_GB2312" w:eastAsia="仿宋_GB2312" w:cs="仿宋_GB2312"/>
          <w:color w:val="auto"/>
          <w:sz w:val="32"/>
          <w:szCs w:val="32"/>
        </w:rPr>
        <w:t>任何组织和个人不得随意撤销、合并工会组织。</w:t>
      </w:r>
      <w:bookmarkStart w:id="8" w:name="_Toc15589"/>
    </w:p>
    <w:bookmarkEnd w:id="8"/>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第十条  </w:t>
      </w:r>
      <w:bookmarkStart w:id="9" w:name="OLE_LINK2"/>
      <w:bookmarkStart w:id="10" w:name="OLE_LINK1"/>
      <w:r>
        <w:rPr>
          <w:rFonts w:hint="eastAsia" w:ascii="仿宋_GB2312" w:hAnsi="仿宋_GB2312" w:eastAsia="仿宋_GB2312" w:cs="仿宋_GB2312"/>
          <w:color w:val="auto"/>
          <w:sz w:val="32"/>
          <w:szCs w:val="32"/>
        </w:rPr>
        <w:t>县级以上总工会和</w:t>
      </w:r>
      <w:r>
        <w:rPr>
          <w:rFonts w:hint="eastAsia" w:ascii="仿宋_GB2312" w:hAnsi="黑体" w:eastAsia="仿宋_GB2312" w:cs="黑体"/>
          <w:color w:val="auto"/>
          <w:sz w:val="32"/>
          <w:szCs w:val="32"/>
        </w:rPr>
        <w:t>相关</w:t>
      </w:r>
      <w:r>
        <w:rPr>
          <w:rFonts w:hint="eastAsia" w:ascii="仿宋_GB2312" w:hAnsi="仿宋_GB2312" w:eastAsia="仿宋_GB2312" w:cs="仿宋_GB2312"/>
          <w:color w:val="auto"/>
          <w:sz w:val="32"/>
          <w:szCs w:val="32"/>
        </w:rPr>
        <w:t>产业工会应当推动平台企业、平台用工合作企业按照国家规定建立工会组织，吸纳新就业形态劳动者入会。</w:t>
      </w:r>
    </w:p>
    <w:p>
      <w:pPr>
        <w:widowControl w:val="0"/>
        <w:wordWrap/>
        <w:overflowPunct w:val="0"/>
        <w:spacing w:beforeAutospacing="0" w:afterAutospacing="0" w:line="578"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rPr>
        <w:t>灵活就业劳动者、新就业形态劳动者以及没有建立工会的用人单位中的劳动者，可以</w:t>
      </w:r>
      <w:r>
        <w:rPr>
          <w:rFonts w:hint="eastAsia" w:ascii="仿宋_GB2312" w:hAnsi="黑体" w:eastAsia="仿宋_GB2312" w:cs="黑体"/>
          <w:color w:val="auto"/>
          <w:sz w:val="32"/>
          <w:szCs w:val="32"/>
        </w:rPr>
        <w:t>参加</w:t>
      </w:r>
      <w:r>
        <w:rPr>
          <w:rFonts w:hint="eastAsia" w:ascii="仿宋_GB2312" w:hAnsi="仿宋_GB2312" w:eastAsia="仿宋_GB2312" w:cs="仿宋_GB2312"/>
          <w:color w:val="auto"/>
          <w:sz w:val="32"/>
          <w:szCs w:val="32"/>
        </w:rPr>
        <w:t>行业性、区域性工会</w:t>
      </w:r>
      <w:r>
        <w:rPr>
          <w:rFonts w:hint="eastAsia" w:ascii="仿宋_GB2312" w:hAnsi="黑体" w:eastAsia="仿宋_GB2312" w:cs="黑体"/>
          <w:color w:val="auto"/>
          <w:sz w:val="32"/>
          <w:szCs w:val="32"/>
        </w:rPr>
        <w:t>联</w:t>
      </w:r>
      <w:r>
        <w:rPr>
          <w:rFonts w:hint="eastAsia" w:ascii="仿宋_GB2312" w:hAnsi="仿宋_GB2312" w:eastAsia="仿宋_GB2312" w:cs="仿宋_GB2312"/>
          <w:color w:val="auto"/>
          <w:sz w:val="32"/>
          <w:szCs w:val="32"/>
        </w:rPr>
        <w:t>合会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联合工会</w:t>
      </w:r>
      <w:r>
        <w:rPr>
          <w:rFonts w:hint="eastAsia" w:ascii="仿宋_GB2312" w:hAnsi="仿宋_GB2312" w:eastAsia="仿宋_GB2312" w:cs="仿宋_GB2312"/>
          <w:color w:val="auto"/>
          <w:sz w:val="32"/>
          <w:szCs w:val="32"/>
        </w:rPr>
        <w:t>或者工作地、居住地的工会组织。</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仿宋_GB2312" w:eastAsia="仿宋_GB2312" w:cs="仿宋_GB2312"/>
          <w:color w:val="auto"/>
          <w:sz w:val="32"/>
          <w:szCs w:val="32"/>
        </w:rPr>
        <w:t>被派遣劳动者参加工会组织，依照《中华人民共和国劳动合同法》有关规定执行。</w:t>
      </w:r>
    </w:p>
    <w:bookmarkEnd w:id="9"/>
    <w:bookmarkEnd w:id="10"/>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第十一条  </w:t>
      </w:r>
      <w:r>
        <w:rPr>
          <w:rFonts w:hint="eastAsia" w:ascii="仿宋_GB2312" w:hAnsi="仿宋_GB2312" w:eastAsia="仿宋_GB2312" w:cs="仿宋_GB2312"/>
          <w:color w:val="auto"/>
          <w:sz w:val="32"/>
          <w:szCs w:val="32"/>
        </w:rPr>
        <w:t>各级工会委员会由会员大会或者会员代表大会民主选举产生，任何组织和个人不得以任何方式强迫选举人选举或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rPr>
        <w:t>不选举某个人。</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基层工会委员会每届任期三年或者五年。县级以上总工会委员会和产业工会委员会每届任期五年。</w:t>
      </w:r>
    </w:p>
    <w:p>
      <w:pPr>
        <w:widowControl w:val="0"/>
        <w:wordWrap/>
        <w:overflowPunct w:val="0"/>
        <w:spacing w:beforeAutospacing="0" w:afterAutospacing="0" w:line="578" w:lineRule="exact"/>
        <w:ind w:firstLine="640" w:firstLineChars="200"/>
        <w:textAlignment w:val="auto"/>
        <w:outlineLvl w:val="9"/>
        <w:rPr>
          <w:rFonts w:hint="eastAsia" w:ascii="黑体" w:hAnsi="黑体" w:eastAsia="黑体" w:cs="黑体"/>
          <w:color w:val="auto"/>
          <w:sz w:val="32"/>
          <w:szCs w:val="32"/>
          <w:highlight w:val="yellow"/>
          <w:lang w:val="en-US" w:eastAsia="zh-CN"/>
        </w:rPr>
      </w:pPr>
      <w:r>
        <w:rPr>
          <w:rFonts w:hint="eastAsia" w:ascii="仿宋_GB2312" w:hAnsi="仿宋_GB2312" w:eastAsia="仿宋_GB2312" w:cs="仿宋_GB2312"/>
          <w:color w:val="auto"/>
          <w:sz w:val="32"/>
          <w:szCs w:val="32"/>
        </w:rPr>
        <w:t>各级工会委员会任期届满的，应当依法依规进行换届。因故不能按期换届的，经上一级工会批准可以提前或者延期换届，延期的时间一般不超过半年。</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第十二条  </w:t>
      </w:r>
      <w:r>
        <w:rPr>
          <w:rFonts w:hint="eastAsia" w:ascii="仿宋_GB2312" w:hAnsi="仿宋_GB2312" w:eastAsia="仿宋_GB2312" w:cs="仿宋_GB2312"/>
          <w:color w:val="auto"/>
          <w:sz w:val="32"/>
          <w:szCs w:val="32"/>
        </w:rPr>
        <w:t>基层工会委员会女会员人数在十人以上的，可以建立工会女职工委员会，在同级工会的领导下开展工作；女会员人数在十人以下的，可以在工会委员会中设女职工委员。</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lang w:eastAsia="zh-CN"/>
        </w:rPr>
      </w:pPr>
    </w:p>
    <w:p>
      <w:pPr>
        <w:widowControl w:val="0"/>
        <w:wordWrap/>
        <w:overflowPunct w:val="0"/>
        <w:spacing w:beforeAutospacing="0" w:afterAutospacing="0" w:line="578"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trike w:val="0"/>
          <w:dstrike w:val="0"/>
          <w:color w:val="auto"/>
          <w:sz w:val="32"/>
          <w:szCs w:val="32"/>
        </w:rPr>
        <w:t>女职</w:t>
      </w:r>
      <w:r>
        <w:rPr>
          <w:rFonts w:hint="eastAsia" w:ascii="仿宋_GB2312" w:hAnsi="仿宋_GB2312" w:eastAsia="仿宋_GB2312" w:cs="仿宋_GB2312"/>
          <w:color w:val="auto"/>
          <w:sz w:val="32"/>
          <w:szCs w:val="32"/>
        </w:rPr>
        <w:t>工委员会主任一般由同级工会女主席或者女副主席担任</w:t>
      </w:r>
      <w:r>
        <w:rPr>
          <w:rFonts w:hint="eastAsia" w:ascii="仿宋_GB2312" w:hAnsi="仿宋_GB2312" w:eastAsia="仿宋_GB2312" w:cs="仿宋_GB2312"/>
          <w:color w:val="auto"/>
          <w:sz w:val="32"/>
          <w:szCs w:val="32"/>
          <w:lang w:val="en-US" w:eastAsia="zh-CN"/>
        </w:rPr>
        <w:t>,也可以经民主协商,按照相应条件明确。</w:t>
      </w:r>
    </w:p>
    <w:p>
      <w:pPr>
        <w:widowControl w:val="0"/>
        <w:wordWrap/>
        <w:overflowPunct w:val="0"/>
        <w:spacing w:beforeAutospacing="0" w:afterAutospacing="0" w:line="578" w:lineRule="exact"/>
        <w:ind w:firstLine="640" w:firstLineChars="200"/>
        <w:textAlignment w:val="auto"/>
        <w:outlineLvl w:val="9"/>
        <w:rPr>
          <w:rFonts w:hint="eastAsia" w:ascii="仿宋_GB2312" w:hAnsi="仿宋" w:eastAsia="仿宋_GB2312" w:cs="仿宋"/>
          <w:color w:val="auto"/>
          <w:sz w:val="32"/>
          <w:szCs w:val="32"/>
        </w:rPr>
      </w:pPr>
      <w:r>
        <w:rPr>
          <w:rFonts w:hint="eastAsia" w:ascii="黑体" w:hAnsi="黑体" w:eastAsia="黑体" w:cs="黑体"/>
          <w:color w:val="auto"/>
          <w:sz w:val="32"/>
          <w:szCs w:val="32"/>
        </w:rPr>
        <w:t xml:space="preserve">第十三条  </w:t>
      </w:r>
      <w:r>
        <w:rPr>
          <w:rFonts w:hint="eastAsia" w:ascii="仿宋_GB2312" w:hAnsi="仿宋_GB2312" w:eastAsia="仿宋_GB2312" w:cs="仿宋_GB2312"/>
          <w:color w:val="auto"/>
          <w:sz w:val="32"/>
          <w:szCs w:val="32"/>
        </w:rPr>
        <w:t>各级工会在选举产生工会委员会时，应当选举产生同级经费审查委员会，对本级工会</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其直属企业、事业单位的经费收支和资产管理情况</w:t>
      </w:r>
      <w:r>
        <w:rPr>
          <w:rFonts w:hint="eastAsia" w:ascii="仿宋_GB2312" w:hAnsi="仿宋_GB2312" w:eastAsia="仿宋_GB2312" w:cs="仿宋_GB2312"/>
          <w:color w:val="auto"/>
          <w:sz w:val="32"/>
          <w:szCs w:val="32"/>
          <w:lang w:val="en-US" w:eastAsia="zh-CN"/>
        </w:rPr>
        <w:t>进行审查和监督；对</w:t>
      </w:r>
      <w:r>
        <w:rPr>
          <w:rFonts w:hint="eastAsia" w:ascii="仿宋_GB2312" w:hAnsi="仿宋_GB2312" w:eastAsia="仿宋_GB2312" w:cs="仿宋_GB2312"/>
          <w:color w:val="auto"/>
          <w:sz w:val="32"/>
          <w:szCs w:val="32"/>
        </w:rPr>
        <w:t>下一级工会及其直属企业、事业单位的经费收支和</w:t>
      </w:r>
      <w:r>
        <w:rPr>
          <w:rFonts w:hint="eastAsia" w:ascii="仿宋_GB2312" w:hAnsi="黑体" w:eastAsia="仿宋_GB2312" w:cs="黑体"/>
          <w:color w:val="auto"/>
          <w:sz w:val="32"/>
          <w:szCs w:val="32"/>
        </w:rPr>
        <w:t>资产</w:t>
      </w:r>
      <w:r>
        <w:rPr>
          <w:rFonts w:hint="eastAsia" w:ascii="仿宋_GB2312" w:hAnsi="仿宋_GB2312" w:eastAsia="仿宋_GB2312" w:cs="仿宋_GB2312"/>
          <w:color w:val="auto"/>
          <w:sz w:val="32"/>
          <w:szCs w:val="32"/>
        </w:rPr>
        <w:t>管理实行审查。</w:t>
      </w:r>
    </w:p>
    <w:p>
      <w:pPr>
        <w:widowControl w:val="0"/>
        <w:wordWrap/>
        <w:overflowPunct w:val="0"/>
        <w:spacing w:beforeAutospacing="0" w:afterAutospacing="0" w:line="578" w:lineRule="exact"/>
        <w:ind w:firstLine="640" w:firstLineChars="200"/>
        <w:textAlignment w:val="auto"/>
        <w:outlineLvl w:val="9"/>
        <w:rPr>
          <w:rFonts w:hint="eastAsia" w:ascii="黑体" w:hAnsi="黑体" w:eastAsia="黑体" w:cs="黑体"/>
          <w:color w:val="auto"/>
          <w:sz w:val="32"/>
          <w:szCs w:val="32"/>
          <w:highlight w:val="yellow"/>
          <w:lang w:val="en-US" w:eastAsia="zh-CN"/>
        </w:rPr>
      </w:pPr>
      <w:r>
        <w:rPr>
          <w:rFonts w:hint="eastAsia" w:ascii="仿宋_GB2312" w:hAnsi="仿宋_GB2312" w:eastAsia="仿宋_GB2312" w:cs="仿宋_GB2312"/>
          <w:color w:val="auto"/>
          <w:sz w:val="32"/>
          <w:szCs w:val="32"/>
        </w:rPr>
        <w:t>县级以上地方总工会应当设立专职经费审查委员会主任，</w:t>
      </w:r>
      <w:r>
        <w:rPr>
          <w:rFonts w:hint="eastAsia" w:ascii="仿宋_GB2312" w:hAnsi="黑体" w:eastAsia="仿宋_GB2312" w:cs="黑体"/>
          <w:color w:val="auto"/>
          <w:sz w:val="32"/>
          <w:szCs w:val="32"/>
        </w:rPr>
        <w:t>明确</w:t>
      </w:r>
      <w:r>
        <w:rPr>
          <w:rFonts w:hint="eastAsia" w:ascii="仿宋_GB2312" w:hAnsi="仿宋_GB2312" w:eastAsia="仿宋_GB2312" w:cs="仿宋_GB2312"/>
          <w:color w:val="auto"/>
          <w:sz w:val="32"/>
          <w:szCs w:val="32"/>
        </w:rPr>
        <w:t>工作人员。</w:t>
      </w:r>
    </w:p>
    <w:p>
      <w:pPr>
        <w:widowControl w:val="0"/>
        <w:wordWrap/>
        <w:overflowPunct w:val="0"/>
        <w:spacing w:beforeAutospacing="0" w:afterAutospacing="0" w:line="578" w:lineRule="exact"/>
        <w:ind w:firstLine="640" w:firstLineChars="200"/>
        <w:textAlignment w:val="auto"/>
        <w:outlineLvl w:val="9"/>
        <w:rPr>
          <w:rFonts w:hint="eastAsia" w:ascii="黑体" w:hAnsi="黑体" w:eastAsia="黑体" w:cs="黑体"/>
          <w:color w:val="auto"/>
          <w:sz w:val="32"/>
          <w:szCs w:val="32"/>
          <w:highlight w:val="yellow"/>
          <w:lang w:val="en-US" w:eastAsia="zh-CN"/>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工会主席、副主席和经费审查委员会主任</w:t>
      </w:r>
      <w:r>
        <w:rPr>
          <w:rFonts w:hint="eastAsia" w:ascii="仿宋_GB2312" w:hAnsi="仿宋_GB2312" w:eastAsia="仿宋_GB2312" w:cs="仿宋_GB2312"/>
          <w:color w:val="auto"/>
          <w:sz w:val="32"/>
          <w:szCs w:val="32"/>
          <w:lang w:val="en-US" w:eastAsia="zh-CN"/>
        </w:rPr>
        <w:t>空</w:t>
      </w:r>
      <w:r>
        <w:rPr>
          <w:rFonts w:hint="eastAsia" w:ascii="仿宋_GB2312" w:hAnsi="仿宋_GB2312" w:eastAsia="仿宋_GB2312" w:cs="仿宋_GB2312"/>
          <w:color w:val="auto"/>
          <w:sz w:val="32"/>
          <w:szCs w:val="32"/>
        </w:rPr>
        <w:t>缺的，应当及时补选。</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工会主席、副主席、经费审查委员会主任任职期间的待遇按照国家和省有关规定执行。</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上级工会应当在一年内对新当选的工会主席、副主席、经费审查委员会主任以及配备的专兼职工作人员进行任职培训。</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第十五条  </w:t>
      </w:r>
      <w:r>
        <w:rPr>
          <w:rFonts w:hint="eastAsia" w:ascii="仿宋_GB2312" w:hAnsi="仿宋_GB2312" w:eastAsia="仿宋_GB2312" w:cs="仿宋_GB2312"/>
          <w:color w:val="auto"/>
          <w:sz w:val="32"/>
          <w:szCs w:val="32"/>
        </w:rPr>
        <w:t>各级工会委员会由会员大会或者会员代表大会民主选举产生。企业主要负责人的近亲属不得作为本企业基层工会委员会成员的人选。</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第十六条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工会主席、副主席任期未满时，不得随意调动其工作。因工作需要调动时，应当征得本级工会委员会和上一级工会的同意。</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黑体" w:eastAsia="仿宋_GB2312" w:cs="黑体"/>
          <w:color w:val="auto"/>
          <w:sz w:val="32"/>
          <w:szCs w:val="32"/>
        </w:rPr>
        <w:t>罢免工会主席、副主席必须召开会员大会或者会员代表大会讨论，非经会员大会全体会员或者会员代表大会全体代表过半数通过，不得罢免。</w:t>
      </w:r>
    </w:p>
    <w:p>
      <w:pPr>
        <w:widowControl w:val="0"/>
        <w:wordWrap/>
        <w:overflowPunct w:val="0"/>
        <w:spacing w:beforeAutospacing="0" w:afterAutospacing="0" w:line="578"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 xml:space="preserve">第十七条  </w:t>
      </w:r>
      <w:r>
        <w:rPr>
          <w:rFonts w:hint="eastAsia" w:ascii="仿宋_GB2312" w:hAnsi="仿宋_GB2312" w:eastAsia="仿宋_GB2312" w:cs="仿宋_GB2312"/>
          <w:color w:val="auto"/>
          <w:sz w:val="32"/>
          <w:szCs w:val="32"/>
        </w:rPr>
        <w:t>职工二百人以上的企业、事业单位、社会组织的工会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可以设立专职工会主席。工会专职工作人员的人数由工会与企业、事业单位、社会组织协商确定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企业和实行企业化管理的事业单位一般按不低于职工人数的千分之三配备。</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机关工会根据职工人数相应配备专职或者兼职工会干部。</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dstrike/>
          <w:color w:val="auto"/>
          <w:sz w:val="32"/>
          <w:szCs w:val="32"/>
        </w:rPr>
      </w:pPr>
      <w:r>
        <w:rPr>
          <w:rFonts w:hint="eastAsia" w:ascii="黑体" w:hAnsi="黑体" w:eastAsia="黑体" w:cs="黑体"/>
          <w:color w:val="auto"/>
          <w:sz w:val="32"/>
          <w:szCs w:val="32"/>
        </w:rPr>
        <w:t xml:space="preserve">第十八条  </w:t>
      </w:r>
      <w:r>
        <w:rPr>
          <w:rFonts w:hint="eastAsia" w:ascii="仿宋_GB2312" w:hAnsi="仿宋_GB2312" w:eastAsia="仿宋_GB2312" w:cs="仿宋_GB2312"/>
          <w:color w:val="auto"/>
          <w:sz w:val="32"/>
          <w:szCs w:val="32"/>
        </w:rPr>
        <w:t>县级以上总工会应当加强社会化工会工作者队伍建设，可以依照国家和省相关规定为基层工会选派、聘用社会化工会工作者等工作人员。</w:t>
      </w:r>
    </w:p>
    <w:p>
      <w:pPr>
        <w:widowControl w:val="0"/>
        <w:wordWrap/>
        <w:overflowPunct w:val="0"/>
        <w:spacing w:beforeAutospacing="0" w:afterAutospacing="0" w:line="578"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社会化工会工作者可以作为区域性、行业性工会</w:t>
      </w:r>
      <w:r>
        <w:rPr>
          <w:rFonts w:hint="eastAsia" w:ascii="仿宋_GB2312" w:hAnsi="黑体" w:eastAsia="仿宋_GB2312" w:cs="黑体"/>
          <w:color w:val="auto"/>
          <w:sz w:val="32"/>
          <w:szCs w:val="32"/>
        </w:rPr>
        <w:t>联合会</w:t>
      </w:r>
      <w:r>
        <w:rPr>
          <w:rFonts w:hint="eastAsia" w:ascii="仿宋_GB2312" w:hAnsi="仿宋_GB2312" w:eastAsia="仿宋_GB2312" w:cs="仿宋_GB2312"/>
          <w:color w:val="auto"/>
          <w:sz w:val="32"/>
          <w:szCs w:val="32"/>
        </w:rPr>
        <w:t>主席或者副主席候选人。</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第十九条  </w:t>
      </w:r>
      <w:r>
        <w:rPr>
          <w:rFonts w:hint="eastAsia" w:ascii="仿宋_GB2312" w:hAnsi="仿宋_GB2312" w:eastAsia="仿宋_GB2312" w:cs="仿宋_GB2312"/>
          <w:color w:val="auto"/>
          <w:sz w:val="32"/>
          <w:szCs w:val="32"/>
        </w:rPr>
        <w:t>基层工会组织具备民法典规定的法人条件的，依法取得社会团体法人资格，工会主席是其法定代表人。县级以上总工会为基层工会法人登记管理机关。</w:t>
      </w:r>
    </w:p>
    <w:p>
      <w:pPr>
        <w:widowControl w:val="0"/>
        <w:wordWrap/>
        <w:overflowPunct w:val="0"/>
        <w:adjustRightInd/>
        <w:snapToGrid/>
        <w:spacing w:beforeLines="100" w:beforeAutospacing="0" w:afterLines="100" w:afterAutospacing="0" w:line="578" w:lineRule="exact"/>
        <w:ind w:left="0" w:leftChars="0" w:right="0" w:firstLine="0" w:firstLineChars="0"/>
        <w:jc w:val="center"/>
        <w:textAlignment w:val="auto"/>
        <w:outlineLvl w:val="9"/>
        <w:rPr>
          <w:rFonts w:ascii="华文中宋" w:hAnsi="华文中宋" w:eastAsia="华文中宋" w:cs="华文中宋"/>
          <w:b/>
          <w:bCs/>
          <w:color w:val="auto"/>
          <w:sz w:val="32"/>
          <w:szCs w:val="32"/>
        </w:rPr>
      </w:pPr>
      <w:bookmarkStart w:id="11" w:name="_Toc21608"/>
      <w:bookmarkStart w:id="12" w:name="_Toc4283"/>
      <w:r>
        <w:rPr>
          <w:rFonts w:hint="eastAsia" w:ascii="黑体" w:hAnsi="黑体" w:eastAsia="黑体" w:cs="黑体"/>
          <w:color w:val="auto"/>
          <w:sz w:val="32"/>
          <w:szCs w:val="32"/>
        </w:rPr>
        <w:t>第三章  工会的权利和义务</w:t>
      </w:r>
      <w:bookmarkEnd w:id="11"/>
      <w:bookmarkEnd w:id="12"/>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xml:space="preserve">  企业、事业单位、社会组织依法建立健全以职工代表大会或者职工大会为基本形式的民主管理制度，推进厂务</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、事务公开。基层工会应当支持和督促本单位实行厂务</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、事务公开。</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基层工会委员会应当在职工代表大会或者职工大会召开前广泛听取职工意见和建议，征集职工代表提案，提出会议议题的建议。</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企业、事业单位、社会组织准备提交职工代表大会或者职工大会审议、通过、决定的事项，应当于会议召开七日</w:t>
      </w:r>
      <w:r>
        <w:rPr>
          <w:rFonts w:hint="eastAsia" w:ascii="仿宋_GB2312" w:hAnsi="仿宋_GB2312" w:eastAsia="仿宋_GB2312" w:cs="仿宋_GB2312"/>
          <w:color w:val="auto"/>
          <w:sz w:val="32"/>
          <w:szCs w:val="32"/>
          <w:lang w:val="en-US" w:eastAsia="zh-CN"/>
        </w:rPr>
        <w:t>前以书面形式送达职工代表或者职工</w:t>
      </w:r>
      <w:r>
        <w:rPr>
          <w:rFonts w:hint="eastAsia" w:ascii="仿宋_GB2312" w:hAnsi="仿宋_GB2312" w:eastAsia="仿宋_GB2312" w:cs="仿宋_GB2312"/>
          <w:color w:val="auto"/>
          <w:sz w:val="32"/>
          <w:szCs w:val="32"/>
          <w:highlight w:val="none"/>
        </w:rPr>
        <w:t>。</w:t>
      </w:r>
    </w:p>
    <w:p>
      <w:pPr>
        <w:widowControl w:val="0"/>
        <w:wordWrap/>
        <w:overflowPunct w:val="0"/>
        <w:spacing w:beforeAutospacing="0" w:afterAutospacing="0" w:line="578" w:lineRule="exact"/>
        <w:ind w:firstLine="640" w:firstLineChars="200"/>
        <w:textAlignment w:val="auto"/>
        <w:outlineLvl w:val="9"/>
        <w:rPr>
          <w:rFonts w:hint="eastAsia" w:ascii="黑体" w:hAnsi="黑体" w:eastAsia="黑体" w:cs="黑体"/>
          <w:color w:val="auto"/>
          <w:sz w:val="32"/>
          <w:szCs w:val="32"/>
          <w:highlight w:val="yellow"/>
          <w:lang w:val="en-US" w:eastAsia="zh-CN"/>
        </w:rPr>
      </w:pPr>
      <w:r>
        <w:rPr>
          <w:rFonts w:hint="eastAsia" w:ascii="仿宋_GB2312" w:hAnsi="仿宋_GB2312" w:eastAsia="仿宋_GB2312" w:cs="仿宋_GB2312"/>
          <w:color w:val="auto"/>
          <w:sz w:val="32"/>
          <w:szCs w:val="32"/>
        </w:rPr>
        <w:t>企业、事业单位、社会组织在进行改制、兼并、破产及制定重大技术改造方案，研究职工裁员、分流、安置等重大问题以及制定重要的规章制度时，</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听取工会和职工的意见。</w:t>
      </w:r>
      <w:bookmarkStart w:id="13" w:name="_Toc9942"/>
      <w:r>
        <w:rPr>
          <w:rFonts w:hint="eastAsia" w:ascii="仿宋_GB2312" w:hAnsi="仿宋_GB2312" w:eastAsia="仿宋_GB2312" w:cs="仿宋_GB2312"/>
          <w:color w:val="auto"/>
          <w:sz w:val="32"/>
          <w:szCs w:val="32"/>
          <w:highlight w:val="none"/>
        </w:rPr>
        <w:t>法律、法规规定应当提交职工大会或者职工代表大会审议、通过、决定的事项，企业、事业单位、社会组织应当依法办理。</w:t>
      </w:r>
    </w:p>
    <w:bookmarkEnd w:id="13"/>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第二十一条  </w:t>
      </w:r>
      <w:r>
        <w:rPr>
          <w:rFonts w:hint="eastAsia" w:ascii="仿宋_GB2312" w:hAnsi="仿宋_GB2312" w:eastAsia="仿宋_GB2312" w:cs="仿宋_GB2312"/>
          <w:color w:val="auto"/>
          <w:sz w:val="32"/>
          <w:szCs w:val="32"/>
        </w:rPr>
        <w:t>工会应当监督、检查职工代表大会或者职工大会决议的执行，发现问题应当向企业、事业单位、社会组织提出意见和建议，并报告上级工会。</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企业、事业单位、社会组织违反职工代表大会制度</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rPr>
        <w:t>其他民主管理制度，工会有权要求纠正，企业、事业单位、社会组织应当在十五日内给予书面答复。</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第二十二条  </w:t>
      </w:r>
      <w:r>
        <w:rPr>
          <w:rFonts w:hint="eastAsia" w:ascii="仿宋_GB2312" w:hAnsi="仿宋_GB2312" w:eastAsia="仿宋_GB2312" w:cs="仿宋_GB2312"/>
          <w:color w:val="auto"/>
          <w:sz w:val="32"/>
          <w:szCs w:val="32"/>
        </w:rPr>
        <w:t>工会帮助指导</w:t>
      </w:r>
      <w:r>
        <w:rPr>
          <w:rFonts w:hint="eastAsia" w:ascii="仿宋_GB2312" w:hAnsi="仿宋_GB2312" w:eastAsia="仿宋_GB2312" w:cs="仿宋_GB2312"/>
          <w:color w:val="auto"/>
          <w:sz w:val="32"/>
          <w:szCs w:val="32"/>
          <w:highlight w:val="none"/>
          <w:lang w:val="en-US" w:eastAsia="zh-CN"/>
        </w:rPr>
        <w:t>劳动者</w:t>
      </w:r>
      <w:r>
        <w:rPr>
          <w:rFonts w:hint="eastAsia" w:ascii="仿宋_GB2312" w:hAnsi="仿宋_GB2312" w:eastAsia="仿宋_GB2312" w:cs="仿宋_GB2312"/>
          <w:color w:val="auto"/>
          <w:sz w:val="32"/>
          <w:szCs w:val="32"/>
        </w:rPr>
        <w:t>与企业、实行企业化管理的事业单位、社会组织</w:t>
      </w:r>
      <w:r>
        <w:rPr>
          <w:rFonts w:hint="eastAsia" w:ascii="仿宋_GB2312" w:hAnsi="仿宋_GB2312" w:eastAsia="仿宋_GB2312" w:cs="仿宋_GB2312"/>
          <w:color w:val="auto"/>
          <w:sz w:val="32"/>
          <w:szCs w:val="32"/>
          <w:highlight w:val="none"/>
          <w:lang w:val="en-US" w:eastAsia="zh-CN"/>
        </w:rPr>
        <w:t>依法</w:t>
      </w:r>
      <w:r>
        <w:rPr>
          <w:rFonts w:hint="eastAsia" w:ascii="仿宋_GB2312" w:hAnsi="仿宋_GB2312" w:eastAsia="仿宋_GB2312" w:cs="仿宋_GB2312"/>
          <w:color w:val="auto"/>
          <w:sz w:val="32"/>
          <w:szCs w:val="32"/>
        </w:rPr>
        <w:t>签订劳动合同，依法对劳动合同的订立、履行、变更、解除、终止</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rPr>
        <w:t>情况进行监督。工会对</w:t>
      </w:r>
      <w:r>
        <w:rPr>
          <w:rFonts w:hint="eastAsia" w:ascii="仿宋_GB2312" w:hAnsi="黑体" w:eastAsia="仿宋_GB2312" w:cs="黑体"/>
          <w:color w:val="auto"/>
          <w:sz w:val="32"/>
          <w:szCs w:val="32"/>
        </w:rPr>
        <w:t>用人单位</w:t>
      </w:r>
      <w:r>
        <w:rPr>
          <w:rFonts w:hint="eastAsia" w:ascii="仿宋_GB2312" w:hAnsi="仿宋_GB2312" w:eastAsia="仿宋_GB2312" w:cs="仿宋_GB2312"/>
          <w:color w:val="auto"/>
          <w:sz w:val="32"/>
          <w:szCs w:val="32"/>
        </w:rPr>
        <w:t>违法招用职工，或者不按照劳动法律、法规签订劳动合同及不履行劳动合同等问题，有权要求予以纠正。</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仿宋_GB2312" w:eastAsia="仿宋_GB2312" w:cs="仿宋_GB2312"/>
          <w:color w:val="auto"/>
          <w:sz w:val="32"/>
          <w:szCs w:val="32"/>
          <w:highlight w:val="none"/>
        </w:rPr>
        <w:t>工会代表职工与企业、实行企业化管理的事业单位、社会组织进行平等协商，依法签订集体合同。县级以上总工会应当</w:t>
      </w:r>
      <w:r>
        <w:rPr>
          <w:rFonts w:hint="eastAsia" w:ascii="仿宋_GB2312" w:hAnsi="仿宋_GB2312" w:eastAsia="仿宋_GB2312" w:cs="仿宋_GB2312"/>
          <w:color w:val="auto"/>
          <w:sz w:val="32"/>
          <w:szCs w:val="32"/>
          <w:highlight w:val="none"/>
          <w:lang w:val="en-US" w:eastAsia="zh-CN"/>
        </w:rPr>
        <w:t>建立健全</w:t>
      </w:r>
      <w:r>
        <w:rPr>
          <w:rFonts w:hint="eastAsia" w:ascii="仿宋_GB2312" w:hAnsi="仿宋_GB2312" w:eastAsia="仿宋_GB2312" w:cs="仿宋_GB2312"/>
          <w:color w:val="auto"/>
          <w:sz w:val="32"/>
          <w:szCs w:val="32"/>
          <w:highlight w:val="none"/>
        </w:rPr>
        <w:t>集体协商机制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w:t>
      </w:r>
      <w:r>
        <w:rPr>
          <w:rFonts w:hint="eastAsia" w:ascii="仿宋_GB2312" w:hAnsi="黑体" w:eastAsia="仿宋_GB2312" w:cs="黑体"/>
          <w:color w:val="auto"/>
          <w:sz w:val="32"/>
          <w:szCs w:val="32"/>
        </w:rPr>
        <w:t>集体协商专职指导员队伍建设。集体协商专职指导员按照本级工会的统一部署，参加对本地区集体合同履行情况的定期监督检查，协助本级工会对集体协商工作开展情况进行监督指导。</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黑体" w:hAnsi="黑体" w:eastAsia="黑体" w:cs="黑体"/>
          <w:color w:val="auto"/>
          <w:sz w:val="32"/>
          <w:szCs w:val="32"/>
        </w:rPr>
        <w:t xml:space="preserve">第二十三条  </w:t>
      </w:r>
      <w:r>
        <w:rPr>
          <w:rFonts w:hint="eastAsia" w:ascii="仿宋_GB2312" w:hAnsi="黑体" w:eastAsia="仿宋_GB2312" w:cs="黑体"/>
          <w:color w:val="auto"/>
          <w:sz w:val="32"/>
          <w:szCs w:val="32"/>
        </w:rPr>
        <w:t>企业、事业单位、社会组织处分职工，工会认为不适当的，有权提出意见。</w:t>
      </w:r>
    </w:p>
    <w:p>
      <w:pPr>
        <w:widowControl w:val="0"/>
        <w:wordWrap/>
        <w:overflowPunct w:val="0"/>
        <w:spacing w:beforeAutospacing="0" w:afterAutospacing="0" w:line="578" w:lineRule="exact"/>
        <w:ind w:firstLine="640" w:firstLineChars="200"/>
        <w:textAlignment w:val="auto"/>
        <w:outlineLvl w:val="9"/>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用人单位单方面解除职工劳动合同时，应当事先将理由通知工会，工会认为用人单位违反法律、法规和有关合同，要求重新研究处理时，用人单位应当研究工会的意见，并将处理结果在十五日内书面通知工会。</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rPr>
        <w:t xml:space="preserve">第二十四条  </w:t>
      </w:r>
      <w:r>
        <w:rPr>
          <w:rFonts w:hint="eastAsia" w:ascii="仿宋_GB2312" w:hAnsi="仿宋_GB2312" w:eastAsia="仿宋_GB2312" w:cs="仿宋_GB2312"/>
          <w:color w:val="auto"/>
          <w:sz w:val="32"/>
          <w:szCs w:val="32"/>
          <w:highlight w:val="none"/>
        </w:rPr>
        <w:t>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widowControl w:val="0"/>
        <w:wordWrap/>
        <w:overflowPunct w:val="0"/>
        <w:spacing w:beforeAutospacing="0" w:afterAutospacing="0" w:line="578"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rPr>
        <w:t xml:space="preserve">第二十五条  </w:t>
      </w:r>
      <w:r>
        <w:rPr>
          <w:rFonts w:hint="eastAsia" w:ascii="仿宋_GB2312" w:hAnsi="仿宋_GB2312" w:eastAsia="仿宋_GB2312" w:cs="仿宋_GB2312"/>
          <w:color w:val="auto"/>
          <w:sz w:val="32"/>
          <w:szCs w:val="32"/>
          <w:highlight w:val="none"/>
          <w:lang w:val="en-US" w:eastAsia="zh-CN"/>
        </w:rPr>
        <w:t>用人单位由于生产经营需要，依照《中华人民共和国劳动法》的规定，经与工会和劳动者协商后可以延长工作时间。</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用人单位应当保证职工享受年休假，工会依法维护职工的年休假权利。</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第二十六条  </w:t>
      </w:r>
      <w:r>
        <w:rPr>
          <w:rFonts w:hint="eastAsia" w:ascii="仿宋_GB2312" w:hAnsi="仿宋_GB2312" w:eastAsia="仿宋_GB2312" w:cs="仿宋_GB2312"/>
          <w:color w:val="auto"/>
          <w:sz w:val="32"/>
          <w:szCs w:val="32"/>
        </w:rPr>
        <w:t>工会有权要求纠正无故克扣职工工资及侵</w:t>
      </w:r>
      <w:r>
        <w:rPr>
          <w:rFonts w:hint="eastAsia" w:ascii="仿宋_GB2312" w:hAnsi="仿宋_GB2312" w:eastAsia="仿宋_GB2312" w:cs="仿宋_GB2312"/>
          <w:color w:val="auto"/>
          <w:sz w:val="32"/>
          <w:szCs w:val="32"/>
          <w:highlight w:val="none"/>
          <w:lang w:val="en-US" w:eastAsia="zh-CN"/>
        </w:rPr>
        <w:t>犯</w:t>
      </w:r>
      <w:r>
        <w:rPr>
          <w:rFonts w:hint="eastAsia" w:ascii="仿宋_GB2312" w:hAnsi="仿宋_GB2312" w:eastAsia="仿宋_GB2312" w:cs="仿宋_GB2312"/>
          <w:color w:val="auto"/>
          <w:sz w:val="32"/>
          <w:szCs w:val="32"/>
          <w:highlight w:val="none"/>
        </w:rPr>
        <w:t>职工劳动</w:t>
      </w:r>
      <w:r>
        <w:rPr>
          <w:rFonts w:hint="eastAsia" w:ascii="仿宋_GB2312" w:hAnsi="黑体" w:eastAsia="仿宋_GB2312" w:cs="黑体"/>
          <w:color w:val="auto"/>
          <w:sz w:val="32"/>
          <w:szCs w:val="32"/>
        </w:rPr>
        <w:t>权益</w:t>
      </w:r>
      <w:r>
        <w:rPr>
          <w:rFonts w:hint="eastAsia" w:ascii="仿宋_GB2312" w:hAnsi="仿宋_GB2312" w:eastAsia="仿宋_GB2312" w:cs="仿宋_GB2312"/>
          <w:color w:val="auto"/>
          <w:sz w:val="32"/>
          <w:szCs w:val="32"/>
        </w:rPr>
        <w:t>的违法行为，有权制止非法限制职工人身自由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殴打体罚职工及</w:t>
      </w:r>
      <w:r>
        <w:rPr>
          <w:rFonts w:hint="eastAsia" w:ascii="仿宋_GB2312" w:hAnsi="仿宋_GB2312" w:eastAsia="仿宋_GB2312" w:cs="仿宋_GB2312"/>
          <w:color w:val="auto"/>
          <w:sz w:val="32"/>
          <w:szCs w:val="32"/>
          <w:highlight w:val="none"/>
          <w:lang w:val="en-US" w:eastAsia="zh-CN"/>
        </w:rPr>
        <w:t>非法</w:t>
      </w:r>
      <w:r>
        <w:rPr>
          <w:rFonts w:hint="eastAsia" w:ascii="仿宋_GB2312" w:hAnsi="仿宋_GB2312" w:eastAsia="仿宋_GB2312" w:cs="仿宋_GB2312"/>
          <w:color w:val="auto"/>
          <w:sz w:val="32"/>
          <w:szCs w:val="32"/>
          <w:highlight w:val="none"/>
        </w:rPr>
        <w:t>扣</w:t>
      </w:r>
      <w:r>
        <w:rPr>
          <w:rFonts w:hint="eastAsia" w:ascii="仿宋_GB2312" w:hAnsi="仿宋_GB2312" w:eastAsia="仿宋_GB2312" w:cs="仿宋_GB2312"/>
          <w:color w:val="auto"/>
          <w:sz w:val="32"/>
          <w:szCs w:val="32"/>
        </w:rPr>
        <w:t>留职工证件等行为，依法维护职工的合法权益。</w:t>
      </w:r>
    </w:p>
    <w:p>
      <w:pPr>
        <w:widowControl w:val="0"/>
        <w:wordWrap/>
        <w:overflowPunct w:val="0"/>
        <w:spacing w:beforeAutospacing="0" w:afterAutospacing="0" w:line="578" w:lineRule="exact"/>
        <w:ind w:firstLine="640" w:firstLineChars="200"/>
        <w:jc w:val="left"/>
        <w:textAlignment w:val="auto"/>
        <w:outlineLvl w:val="9"/>
        <w:rPr>
          <w:rFonts w:hint="eastAsia" w:ascii="仿宋_GB2312" w:hAnsi="黑体" w:eastAsia="仿宋_GB2312" w:cs="黑体"/>
          <w:color w:val="auto"/>
          <w:kern w:val="0"/>
          <w:sz w:val="32"/>
          <w:szCs w:val="32"/>
        </w:rPr>
      </w:pPr>
      <w:r>
        <w:rPr>
          <w:rFonts w:hint="eastAsia" w:ascii="黑体" w:hAnsi="黑体" w:eastAsia="黑体" w:cs="黑体"/>
          <w:color w:val="auto"/>
          <w:sz w:val="32"/>
          <w:szCs w:val="32"/>
        </w:rPr>
        <w:t xml:space="preserve">第二十七条  </w:t>
      </w:r>
      <w:r>
        <w:rPr>
          <w:rFonts w:hint="eastAsia" w:ascii="仿宋_GB2312" w:hAnsi="黑体" w:eastAsia="仿宋_GB2312" w:cs="黑体"/>
          <w:color w:val="auto"/>
          <w:kern w:val="0"/>
          <w:sz w:val="32"/>
          <w:szCs w:val="32"/>
        </w:rPr>
        <w:t>工会帮助、指导新就业形态劳动者与平台企业、平台用工合作企业依法订立和履行劳动合同，并与用人单位建立集体协商机制，维护新就业形态劳动者的合法权益。</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平台</w:t>
      </w:r>
      <w:r>
        <w:rPr>
          <w:rFonts w:hint="eastAsia" w:ascii="仿宋_GB2312" w:hAnsi="仿宋_GB2312" w:eastAsia="仿宋_GB2312" w:cs="仿宋_GB2312"/>
          <w:color w:val="auto"/>
          <w:sz w:val="32"/>
          <w:szCs w:val="32"/>
          <w:highlight w:val="none"/>
          <w:lang w:eastAsia="zh-CN"/>
        </w:rPr>
        <w:t>企业制定修订平台进入退出、订单分配、计件单价、抽成比例、报酬构成及支付、工作时间、奖惩等直接涉及劳动者权益的制度规则和平台算法</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应当</w:t>
      </w:r>
      <w:r>
        <w:rPr>
          <w:rFonts w:hint="eastAsia" w:ascii="仿宋_GB2312" w:hAnsi="仿宋_GB2312" w:eastAsia="仿宋_GB2312" w:cs="仿宋_GB2312"/>
          <w:color w:val="auto"/>
          <w:sz w:val="32"/>
          <w:szCs w:val="32"/>
          <w:highlight w:val="none"/>
          <w:lang w:eastAsia="zh-CN"/>
        </w:rPr>
        <w:t>听取工会或</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lang w:eastAsia="zh-CN"/>
        </w:rPr>
        <w:t>劳动者代表的意见建议，将结果公示并告知劳动者。</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第二十八条  </w:t>
      </w:r>
      <w:r>
        <w:rPr>
          <w:rFonts w:hint="eastAsia" w:ascii="仿宋_GB2312" w:hAnsi="仿宋_GB2312" w:eastAsia="仿宋_GB2312" w:cs="仿宋_GB2312"/>
          <w:color w:val="auto"/>
          <w:sz w:val="32"/>
          <w:szCs w:val="32"/>
        </w:rPr>
        <w:t>县级以上总工会设立工会劳动法律监督委员会，在同级工会领导下开展本行政区域内的工会劳动法律监督工作。基层工会设立劳动法律监督委员会或者监督小组，负责本区域、本行业或者本单位的工会劳动法律监督工作。</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 xml:space="preserve">第二十九条  </w:t>
      </w:r>
      <w:r>
        <w:rPr>
          <w:rFonts w:hint="eastAsia" w:ascii="仿宋_GB2312" w:hAnsi="仿宋_GB2312" w:eastAsia="仿宋_GB2312" w:cs="仿宋_GB2312"/>
          <w:color w:val="auto"/>
          <w:sz w:val="32"/>
          <w:szCs w:val="32"/>
        </w:rPr>
        <w:t>用人单位违反劳动法律、法规规定，侵犯职工劳动权益的，用人单位工会可以发出工会劳动法律监督提示函，提示用人单位予以纠正；提示无效的，县级以上总工会有权向用人单位发出工会劳动法律监督意见书，提出改正意见；用人单位拒不改正的，县级以上总工会可以向当地人民政府有关部门发出工会劳动法律监督建议书，建议依法处理</w:t>
      </w:r>
      <w:r>
        <w:rPr>
          <w:rFonts w:hint="eastAsia" w:ascii="仿宋_GB2312" w:hAnsi="仿宋_GB2312" w:eastAsia="仿宋_GB2312" w:cs="仿宋_GB2312"/>
          <w:color w:val="auto"/>
          <w:sz w:val="32"/>
          <w:szCs w:val="32"/>
          <w:lang w:eastAsia="zh-CN"/>
        </w:rPr>
        <w:t>。</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 xml:space="preserve">第三十条  </w:t>
      </w:r>
      <w:r>
        <w:rPr>
          <w:rFonts w:hint="eastAsia" w:ascii="仿宋_GB2312" w:hAnsi="仿宋_GB2312" w:eastAsia="仿宋_GB2312" w:cs="仿宋_GB2312"/>
          <w:color w:val="auto"/>
          <w:sz w:val="32"/>
          <w:szCs w:val="32"/>
        </w:rPr>
        <w:t>工会有权</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rPr>
        <w:t>企业、事业单位、社会组织侵犯职工合法权益的问题进行调查，有关单位应当予以协助，并如实提供情况和资料。</w:t>
      </w:r>
      <w:bookmarkStart w:id="14" w:name="_Toc9713"/>
    </w:p>
    <w:bookmarkEnd w:id="14"/>
    <w:p>
      <w:pPr>
        <w:widowControl w:val="0"/>
        <w:wordWrap/>
        <w:overflowPunct w:val="0"/>
        <w:spacing w:beforeAutospacing="0" w:afterAutospacing="0" w:line="578"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第三十一条  </w:t>
      </w:r>
      <w:r>
        <w:rPr>
          <w:rFonts w:hint="eastAsia" w:ascii="仿宋_GB2312" w:hAnsi="仿宋_GB2312" w:eastAsia="仿宋_GB2312" w:cs="仿宋_GB2312"/>
          <w:color w:val="auto"/>
          <w:sz w:val="32"/>
          <w:szCs w:val="32"/>
        </w:rPr>
        <w:t>工会应当坚持和发展新时代“枫桥经验”，建立健全劳动纠纷多元化解机制，构建和谐劳动关系。</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工会应当推动用人单位依法建立劳动争议调解委员会，推动工业园区和劳动密集型行业等建立区域性、行业性劳动争议调解组织。</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县级以上总工会应当将工会参与劳动争议处理工作经费列入本级工会经费预算。</w:t>
      </w:r>
    </w:p>
    <w:p>
      <w:pPr>
        <w:widowControl w:val="0"/>
        <w:wordWrap/>
        <w:overflowPunct w:val="0"/>
        <w:spacing w:beforeAutospacing="0" w:afterAutospacing="0" w:line="578" w:lineRule="exact"/>
        <w:ind w:firstLine="640" w:firstLineChars="200"/>
        <w:textAlignment w:val="auto"/>
        <w:outlineLvl w:val="9"/>
        <w:rPr>
          <w:rFonts w:hint="eastAsia" w:ascii="黑体" w:hAnsi="黑体" w:eastAsia="仿宋_GB2312" w:cs="黑体"/>
          <w:color w:val="auto"/>
          <w:sz w:val="32"/>
          <w:szCs w:val="32"/>
          <w:lang w:val="en-US" w:eastAsia="zh-CN"/>
        </w:rPr>
      </w:pPr>
      <w:r>
        <w:rPr>
          <w:rFonts w:hint="eastAsia" w:ascii="黑体" w:hAnsi="黑体" w:eastAsia="黑体" w:cs="黑体"/>
          <w:color w:val="auto"/>
          <w:sz w:val="32"/>
          <w:szCs w:val="32"/>
        </w:rPr>
        <w:t xml:space="preserve">第三十二条  </w:t>
      </w:r>
      <w:r>
        <w:rPr>
          <w:rFonts w:hint="eastAsia" w:ascii="仿宋_GB2312" w:hAnsi="仿宋_GB2312" w:eastAsia="仿宋_GB2312" w:cs="仿宋_GB2312"/>
          <w:color w:val="auto"/>
          <w:sz w:val="32"/>
          <w:szCs w:val="32"/>
        </w:rPr>
        <w:t>县级以上总工会可以与司法行政部门建立法律援助机制，协作成立工会（职工）法律援助工作</w:t>
      </w:r>
      <w:r>
        <w:rPr>
          <w:rFonts w:hint="eastAsia" w:ascii="黑体" w:hAnsi="黑体" w:eastAsia="仿宋_GB2312" w:cs="黑体"/>
          <w:color w:val="auto"/>
          <w:sz w:val="32"/>
          <w:szCs w:val="32"/>
          <w:lang w:eastAsia="zh-CN"/>
        </w:rPr>
        <w:t>平台</w:t>
      </w:r>
      <w:r>
        <w:rPr>
          <w:rFonts w:hint="eastAsia" w:ascii="仿宋_GB2312" w:hAnsi="仿宋_GB2312" w:eastAsia="仿宋_GB2312" w:cs="仿宋_GB2312"/>
          <w:strike w:val="0"/>
          <w:dstrike w:val="0"/>
          <w:color w:val="auto"/>
          <w:sz w:val="32"/>
          <w:szCs w:val="32"/>
        </w:rPr>
        <w:t>，</w:t>
      </w:r>
      <w:r>
        <w:rPr>
          <w:rFonts w:hint="eastAsia" w:ascii="黑体" w:hAnsi="黑体" w:eastAsia="仿宋_GB2312" w:cs="黑体"/>
          <w:color w:val="auto"/>
          <w:sz w:val="32"/>
          <w:szCs w:val="32"/>
          <w:lang w:eastAsia="zh-CN"/>
        </w:rPr>
        <w:t>按照《中华人民共和国法律援助法》的规定，为符合条件的职工、工会工作者提供法律援助。</w:t>
      </w:r>
    </w:p>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bookmarkStart w:id="15" w:name="_Toc19256"/>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工会应当加强工人文化宫、工人疗休养院、服务职工中心等职工服务阵地建设，提高综合服务能力水平，为职工提供服务，提升职工生活品质。</w:t>
      </w:r>
    </w:p>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工会应当推动职工心理健康工作，依托专业机构开展心理健康知识宣传、心理咨询和心理辅导等服务。</w:t>
      </w:r>
    </w:p>
    <w:p>
      <w:pPr>
        <w:widowControl w:val="0"/>
        <w:tabs>
          <w:tab w:val="left" w:pos="1528"/>
        </w:tabs>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黑体" w:eastAsia="仿宋_GB2312" w:cs="黑体"/>
          <w:color w:val="auto"/>
          <w:sz w:val="32"/>
          <w:szCs w:val="32"/>
        </w:rPr>
        <w:t>鼓励</w:t>
      </w:r>
      <w:r>
        <w:rPr>
          <w:rFonts w:hint="eastAsia" w:ascii="仿宋_GB2312" w:hAnsi="仿宋_GB2312" w:eastAsia="仿宋_GB2312" w:cs="仿宋_GB2312"/>
          <w:color w:val="auto"/>
          <w:sz w:val="32"/>
          <w:szCs w:val="32"/>
        </w:rPr>
        <w:t>工会加强数智化建设，运用大数据、人工智能、云计算等现代技术手段提升工会服务职工的能力水平。</w:t>
      </w:r>
    </w:p>
    <w:bookmarkEnd w:id="15"/>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第三十四条  </w:t>
      </w:r>
      <w:r>
        <w:rPr>
          <w:rFonts w:hint="eastAsia" w:ascii="仿宋_GB2312" w:hAnsi="仿宋_GB2312" w:eastAsia="仿宋_GB2312" w:cs="仿宋_GB2312"/>
          <w:color w:val="auto"/>
          <w:sz w:val="32"/>
          <w:szCs w:val="32"/>
        </w:rPr>
        <w:t>工会应当关心职工的生活，开展帮扶送温暖、就业创业服务、助学救济等活动，</w:t>
      </w:r>
      <w:r>
        <w:rPr>
          <w:rFonts w:hint="eastAsia" w:ascii="仿宋_GB2312" w:hAnsi="黑体" w:eastAsia="仿宋_GB2312" w:cs="黑体"/>
          <w:color w:val="auto"/>
          <w:sz w:val="32"/>
          <w:szCs w:val="32"/>
        </w:rPr>
        <w:t>帮助职工解决困难</w:t>
      </w:r>
      <w:r>
        <w:rPr>
          <w:rFonts w:hint="eastAsia" w:ascii="仿宋_GB2312" w:hAnsi="仿宋_GB2312" w:eastAsia="仿宋_GB2312" w:cs="仿宋_GB2312"/>
          <w:color w:val="auto"/>
          <w:sz w:val="32"/>
          <w:szCs w:val="32"/>
        </w:rPr>
        <w:t>。</w:t>
      </w:r>
    </w:p>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县级以上总工会应当与同级人民政府人力资源和社会保障、民政、教育、住房和城乡建设、财政、卫生健康、医疗保障等部门协作，整合政策资源，帮助困难职工。</w:t>
      </w:r>
      <w:bookmarkStart w:id="16" w:name="_Toc31213"/>
    </w:p>
    <w:bookmarkEnd w:id="16"/>
    <w:p>
      <w:pPr>
        <w:widowControl w:val="0"/>
        <w:tabs>
          <w:tab w:val="left" w:pos="1528"/>
        </w:tabs>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 xml:space="preserve">条  </w:t>
      </w:r>
      <w:bookmarkStart w:id="17" w:name="OLE_LINK4"/>
      <w:bookmarkStart w:id="18" w:name="OLE_LINK3"/>
      <w:r>
        <w:rPr>
          <w:rFonts w:hint="eastAsia" w:ascii="仿宋_GB2312" w:hAnsi="仿宋_GB2312" w:eastAsia="仿宋_GB2312" w:cs="仿宋_GB2312"/>
          <w:color w:val="auto"/>
          <w:sz w:val="32"/>
          <w:szCs w:val="32"/>
        </w:rPr>
        <w:t>根据政府委托，工会与有关部门共同做好劳动模范、先进生产（工作）者的评选、表彰、培养和管理工作</w:t>
      </w:r>
      <w:r>
        <w:rPr>
          <w:rFonts w:hint="eastAsia" w:ascii="仿宋_GB2312" w:hAnsi="仿宋_GB2312" w:eastAsia="仿宋_GB2312" w:cs="仿宋_GB2312"/>
          <w:color w:val="auto"/>
          <w:sz w:val="32"/>
          <w:szCs w:val="32"/>
          <w:lang w:eastAsia="zh-CN"/>
        </w:rPr>
        <w:t>，</w:t>
      </w:r>
      <w:r>
        <w:rPr>
          <w:rFonts w:hint="eastAsia" w:ascii="仿宋_GB2312" w:hAnsi="黑体" w:eastAsia="仿宋_GB2312" w:cs="黑体"/>
          <w:color w:val="auto"/>
          <w:sz w:val="32"/>
          <w:szCs w:val="32"/>
        </w:rPr>
        <w:t>关心劳动模范、先进生产（工作）者，按照国家和省有关规定落实相关待遇。</w:t>
      </w:r>
    </w:p>
    <w:bookmarkEnd w:id="17"/>
    <w:bookmarkEnd w:id="18"/>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工会组织开展五一劳动奖状（章）、工人先锋号等先进集体和个人的评选、表彰、培养和管理工作。</w:t>
      </w:r>
    </w:p>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第三十六条</w:t>
      </w:r>
      <w:r>
        <w:rPr>
          <w:rFonts w:hint="eastAsia" w:ascii="仿宋_GB2312" w:hAnsi="仿宋_GB2312" w:eastAsia="仿宋_GB2312" w:cs="仿宋_GB2312"/>
          <w:color w:val="auto"/>
          <w:sz w:val="32"/>
          <w:szCs w:val="32"/>
        </w:rPr>
        <w:t xml:space="preserve">  县级以上总工会应当根据职工需求和社会保障状况实际，科学制定职工互助保障活动发展规划，争取同级人民政府支持，协调社会资源，为开展职工互助保障活动营造环境、创造条件。</w:t>
      </w:r>
    </w:p>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鼓励用人单位支持工会开展职工医疗互助等职工互助保障活动。</w:t>
      </w:r>
    </w:p>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第三十七条  </w:t>
      </w:r>
      <w:r>
        <w:rPr>
          <w:rFonts w:hint="eastAsia" w:ascii="仿宋_GB2312" w:hAnsi="仿宋_GB2312" w:eastAsia="仿宋_GB2312" w:cs="仿宋_GB2312"/>
          <w:color w:val="auto"/>
          <w:sz w:val="32"/>
          <w:szCs w:val="32"/>
        </w:rPr>
        <w:t>县级以上人民政府与同级工会</w:t>
      </w:r>
      <w:r>
        <w:rPr>
          <w:rFonts w:hint="eastAsia" w:ascii="黑体" w:hAnsi="黑体" w:eastAsia="仿宋_GB2312" w:cs="黑体"/>
          <w:color w:val="auto"/>
          <w:sz w:val="32"/>
          <w:szCs w:val="32"/>
          <w:lang w:val="en-US" w:eastAsia="zh-CN"/>
        </w:rPr>
        <w:t>依法</w:t>
      </w:r>
      <w:r>
        <w:rPr>
          <w:rFonts w:hint="eastAsia" w:ascii="仿宋_GB2312" w:hAnsi="仿宋_GB2312" w:eastAsia="仿宋_GB2312" w:cs="仿宋_GB2312"/>
          <w:color w:val="auto"/>
          <w:sz w:val="32"/>
          <w:szCs w:val="32"/>
        </w:rPr>
        <w:t>建立联席会议制度，向同级工会通报政府的重要工作部署和与工会工作有关的行政措施，研究解决工会反映的职工的意见和要求。联席会议每年至少召开一次。</w:t>
      </w:r>
    </w:p>
    <w:p>
      <w:pPr>
        <w:widowControl w:val="0"/>
        <w:tabs>
          <w:tab w:val="left" w:pos="1528"/>
        </w:tabs>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val="en-US" w:eastAsia="zh-CN"/>
        </w:rPr>
        <w:t>工会</w:t>
      </w:r>
      <w:r>
        <w:rPr>
          <w:rFonts w:hint="eastAsia" w:ascii="仿宋_GB2312" w:hAnsi="仿宋_GB2312" w:eastAsia="仿宋_GB2312" w:cs="仿宋_GB2312"/>
          <w:color w:val="auto"/>
          <w:sz w:val="32"/>
          <w:szCs w:val="32"/>
        </w:rPr>
        <w:t>、行业</w:t>
      </w:r>
      <w:r>
        <w:rPr>
          <w:rFonts w:hint="eastAsia" w:ascii="仿宋_GB2312" w:hAnsi="黑体" w:eastAsia="仿宋_GB2312" w:cs="黑体"/>
          <w:color w:val="auto"/>
          <w:sz w:val="32"/>
          <w:szCs w:val="32"/>
        </w:rPr>
        <w:t>性</w:t>
      </w:r>
      <w:r>
        <w:rPr>
          <w:rFonts w:hint="eastAsia" w:ascii="仿宋_GB2312" w:hAnsi="仿宋_GB2312" w:eastAsia="仿宋_GB2312" w:cs="仿宋_GB2312"/>
          <w:color w:val="auto"/>
          <w:sz w:val="32"/>
          <w:szCs w:val="32"/>
        </w:rPr>
        <w:t>工会</w:t>
      </w:r>
      <w:r>
        <w:rPr>
          <w:rFonts w:hint="eastAsia" w:ascii="仿宋_GB2312" w:hAnsi="黑体" w:eastAsia="仿宋_GB2312" w:cs="黑体"/>
          <w:color w:val="auto"/>
          <w:sz w:val="32"/>
          <w:szCs w:val="32"/>
        </w:rPr>
        <w:t>联合会</w:t>
      </w:r>
      <w:r>
        <w:rPr>
          <w:rFonts w:hint="eastAsia" w:ascii="仿宋_GB2312" w:hAnsi="仿宋_GB2312" w:eastAsia="仿宋_GB2312" w:cs="仿宋_GB2312"/>
          <w:color w:val="auto"/>
          <w:sz w:val="32"/>
          <w:szCs w:val="32"/>
        </w:rPr>
        <w:t>参照前款规定，结合实际推动建立和完善与相应人民政府职能部门或者行业协会的联席会议制度。</w:t>
      </w:r>
    </w:p>
    <w:p>
      <w:pPr>
        <w:widowControl w:val="0"/>
        <w:tabs>
          <w:tab w:val="left" w:pos="1528"/>
        </w:tabs>
        <w:wordWrap/>
        <w:overflowPunct w:val="0"/>
        <w:spacing w:beforeAutospacing="0" w:afterAutospacing="0" w:line="578" w:lineRule="exact"/>
        <w:ind w:firstLine="640" w:firstLineChars="200"/>
        <w:textAlignment w:val="auto"/>
        <w:outlineLvl w:val="9"/>
        <w:rPr>
          <w:rFonts w:ascii="仿宋_GB2312" w:hAnsi="仿宋_GB2312" w:eastAsia="仿宋_GB2312" w:cs="仿宋_GB2312"/>
          <w:dstrike/>
          <w:color w:val="auto"/>
          <w:sz w:val="32"/>
          <w:szCs w:val="32"/>
        </w:rPr>
      </w:pPr>
      <w:r>
        <w:rPr>
          <w:rFonts w:hint="eastAsia" w:ascii="仿宋_GB2312" w:hAnsi="仿宋_GB2312" w:eastAsia="仿宋_GB2312" w:cs="仿宋_GB2312"/>
          <w:color w:val="auto"/>
          <w:sz w:val="32"/>
          <w:szCs w:val="32"/>
        </w:rPr>
        <w:t>县级以上人民政府及其有关部门研究制定劳动就业、工资、劳动安全卫生、社会保险等涉及职工切身利益的政策、措施时，应当吸收同级工会参加研究，听取工会意见。</w:t>
      </w:r>
    </w:p>
    <w:p>
      <w:pPr>
        <w:widowControl w:val="0"/>
        <w:wordWrap/>
        <w:overflowPunct w:val="0"/>
        <w:spacing w:beforeAutospacing="0" w:afterAutospacing="0" w:line="578" w:lineRule="exact"/>
        <w:ind w:firstLine="640" w:firstLineChars="200"/>
        <w:textAlignment w:val="auto"/>
        <w:outlineLvl w:val="9"/>
        <w:rPr>
          <w:rFonts w:ascii="仿宋" w:hAnsi="仿宋" w:eastAsia="仿宋_GB2312" w:cs="仿宋"/>
          <w:color w:val="auto"/>
          <w:sz w:val="32"/>
          <w:szCs w:val="32"/>
        </w:rPr>
      </w:pPr>
      <w:r>
        <w:rPr>
          <w:rFonts w:hint="eastAsia" w:ascii="黑体" w:hAnsi="黑体" w:eastAsia="黑体" w:cs="黑体"/>
          <w:color w:val="auto"/>
          <w:sz w:val="32"/>
          <w:szCs w:val="32"/>
        </w:rPr>
        <w:t xml:space="preserve">第三十八条  </w:t>
      </w:r>
      <w:r>
        <w:rPr>
          <w:rFonts w:ascii="仿宋_GB2312" w:hAnsi="仿宋_GB2312" w:eastAsia="仿宋_GB2312" w:cs="仿宋_GB2312"/>
          <w:color w:val="auto"/>
          <w:sz w:val="32"/>
          <w:szCs w:val="32"/>
        </w:rPr>
        <w:t>县级以上人民政府</w:t>
      </w:r>
      <w:r>
        <w:rPr>
          <w:rFonts w:hint="eastAsia" w:ascii="仿宋_GB2312" w:hAnsi="仿宋_GB2312" w:eastAsia="仿宋_GB2312" w:cs="仿宋_GB2312"/>
          <w:color w:val="auto"/>
          <w:sz w:val="32"/>
          <w:szCs w:val="32"/>
        </w:rPr>
        <w:t>人力资源和社会保障部门</w:t>
      </w:r>
      <w:r>
        <w:rPr>
          <w:rFonts w:ascii="仿宋_GB2312" w:hAnsi="仿宋_GB2312" w:eastAsia="仿宋_GB2312" w:cs="仿宋_GB2312"/>
          <w:color w:val="auto"/>
          <w:sz w:val="32"/>
          <w:szCs w:val="32"/>
        </w:rPr>
        <w:t>应当会同同级工会和企业组织代表，建立劳动关系三方协商机制，共同研究解决劳动关系方面的重大问题，维护用人单位和职工的合法权益。</w:t>
      </w:r>
    </w:p>
    <w:p>
      <w:pPr>
        <w:widowControl w:val="0"/>
        <w:wordWrap/>
        <w:overflowPunct w:val="0"/>
        <w:adjustRightInd/>
        <w:snapToGrid/>
        <w:spacing w:beforeLines="100" w:beforeAutospacing="0" w:afterLines="100" w:afterAutospacing="0" w:line="578" w:lineRule="exact"/>
        <w:ind w:left="0" w:leftChars="0" w:right="0" w:firstLine="0" w:firstLineChars="0"/>
        <w:jc w:val="center"/>
        <w:textAlignment w:val="auto"/>
        <w:outlineLvl w:val="9"/>
        <w:rPr>
          <w:rFonts w:ascii="黑体" w:hAnsi="黑体" w:eastAsia="黑体" w:cs="黑体"/>
          <w:color w:val="auto"/>
          <w:sz w:val="32"/>
          <w:szCs w:val="32"/>
        </w:rPr>
      </w:pPr>
      <w:bookmarkStart w:id="19" w:name="_Toc14516"/>
      <w:bookmarkStart w:id="20" w:name="_Toc3674"/>
      <w:r>
        <w:rPr>
          <w:rFonts w:hint="eastAsia" w:ascii="黑体" w:hAnsi="黑体" w:eastAsia="黑体" w:cs="黑体"/>
          <w:color w:val="auto"/>
          <w:sz w:val="32"/>
          <w:szCs w:val="32"/>
        </w:rPr>
        <w:t>第四章  工会的经费和财产</w:t>
      </w:r>
      <w:bookmarkEnd w:id="19"/>
      <w:bookmarkEnd w:id="20"/>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w:t>
      </w:r>
      <w:r>
        <w:rPr>
          <w:rFonts w:hint="eastAsia" w:ascii="黑体" w:hAnsi="黑体" w:eastAsia="黑体" w:cs="黑体"/>
          <w:color w:val="auto"/>
          <w:sz w:val="32"/>
          <w:szCs w:val="32"/>
        </w:rPr>
        <w:t>九条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建立工会组织的用人单位应当按</w:t>
      </w:r>
      <w:r>
        <w:rPr>
          <w:rFonts w:hint="eastAsia" w:ascii="黑体" w:hAnsi="黑体" w:eastAsia="仿宋_GB2312" w:cs="黑体"/>
          <w:color w:val="auto"/>
          <w:sz w:val="32"/>
          <w:szCs w:val="32"/>
          <w:lang w:val="en-US" w:eastAsia="zh-CN"/>
        </w:rPr>
        <w:t>每月</w:t>
      </w:r>
      <w:r>
        <w:rPr>
          <w:rFonts w:hint="eastAsia" w:ascii="仿宋_GB2312" w:hAnsi="仿宋_GB2312" w:eastAsia="仿宋_GB2312" w:cs="仿宋_GB2312"/>
          <w:color w:val="auto"/>
          <w:sz w:val="32"/>
          <w:szCs w:val="32"/>
        </w:rPr>
        <w:t>全部职工工资总额的百分之二向工会拨缴经费。</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财政拨款的机关、事业单位应当拨缴的工会经费，由各单位按照规定比例足额列入年度预算。</w:t>
      </w:r>
      <w:r>
        <w:rPr>
          <w:rFonts w:hint="eastAsia" w:ascii="仿宋_GB2312" w:hAnsi="黑体" w:eastAsia="仿宋_GB2312" w:cs="黑体"/>
          <w:color w:val="auto"/>
          <w:sz w:val="32"/>
          <w:szCs w:val="32"/>
        </w:rPr>
        <w:t>实行工会经费税务代收的企业、事业单位和社会组织，应当按照有关规定按时申报、足额缴纳工会经费。</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用人单位应当如实向工会提供职工人数和职工工资总额的相关数据。全部职工工资总额的计算，按照国家统计局等有关部门的规定执行。</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rPr>
        <w:t xml:space="preserve">第四十条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highlight w:val="none"/>
        </w:rPr>
        <w:t>企业、事业单位、社会组织无正当理由拖延或者拒不拨缴工会经费，基层工会或者上级工会可以向当地人民法院申请支付令；拒不执行支付令的，工会可以依法申请人民法院强制执行。</w:t>
      </w:r>
      <w:bookmarkStart w:id="21" w:name="_Toc14486"/>
    </w:p>
    <w:bookmarkEnd w:id="21"/>
    <w:p>
      <w:pPr>
        <w:widowControl w:val="0"/>
        <w:wordWrap/>
        <w:overflowPunct w:val="0"/>
        <w:spacing w:beforeAutospacing="0" w:afterAutospacing="0" w:line="578" w:lineRule="exact"/>
        <w:ind w:firstLine="640" w:firstLineChars="200"/>
        <w:textAlignment w:val="auto"/>
        <w:outlineLvl w:val="9"/>
        <w:rPr>
          <w:rFonts w:hint="default" w:ascii="仿宋" w:hAnsi="仿宋" w:eastAsia="仿宋_GB2312" w:cs="仿宋"/>
          <w:color w:val="auto"/>
          <w:sz w:val="32"/>
          <w:szCs w:val="32"/>
          <w:lang w:val="en-US" w:eastAsia="zh-CN"/>
        </w:rPr>
      </w:pPr>
      <w:bookmarkStart w:id="22" w:name="_Toc24260"/>
      <w:r>
        <w:rPr>
          <w:rFonts w:hint="eastAsia" w:ascii="黑体" w:hAnsi="黑体" w:eastAsia="黑体" w:cs="黑体"/>
          <w:color w:val="auto"/>
          <w:sz w:val="32"/>
          <w:szCs w:val="32"/>
        </w:rPr>
        <w:t>第四十一条</w:t>
      </w:r>
      <w:bookmarkEnd w:id="22"/>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具有法人资格的工会应当建立独立的工会经费账户，根据经费独立原则，建立预算、决算、资产监管和经费审查监督制度，执行《工会会计制度》，实行独立预决算和工会财务会计核算。工会经费</w:t>
      </w:r>
      <w:r>
        <w:rPr>
          <w:rFonts w:hint="eastAsia" w:ascii="仿宋_GB2312" w:hAnsi="黑体" w:eastAsia="仿宋_GB2312" w:cs="黑体"/>
          <w:color w:val="auto"/>
          <w:sz w:val="32"/>
          <w:szCs w:val="32"/>
        </w:rPr>
        <w:t>主要用于为职工服务和工会活动，</w:t>
      </w:r>
      <w:r>
        <w:rPr>
          <w:rFonts w:hint="eastAsia" w:ascii="仿宋_GB2312" w:hAnsi="仿宋_GB2312" w:eastAsia="仿宋_GB2312" w:cs="仿宋_GB2312"/>
          <w:color w:val="auto"/>
          <w:sz w:val="32"/>
          <w:szCs w:val="32"/>
        </w:rPr>
        <w:t>按照中华全国总工会和贵州省总工会制定的经费管理办法使用，并接受本级工会经费审查委员会和上级工会的审查监督。上级工会有权对下级工会及其所属的用人单位拨缴工会经费的情况进行督查。</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bookmarkStart w:id="23" w:name="_Toc9046"/>
      <w:r>
        <w:rPr>
          <w:rFonts w:hint="eastAsia" w:ascii="黑体" w:hAnsi="黑体" w:eastAsia="黑体" w:cs="黑体"/>
          <w:color w:val="auto"/>
          <w:sz w:val="32"/>
          <w:szCs w:val="32"/>
        </w:rPr>
        <w:t>第四十二条</w:t>
      </w:r>
      <w:bookmarkEnd w:id="23"/>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各级人民政府和用人单位应当为工会办公和开展职工劳动和技能竞赛、技术革新、教育培训、文化体育等活动提供必要的设施和活动场所等物质条件。</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各级人民政府和用人单位可以根据财力和实际情况，每年给予工会一定的经费补助。</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bookmarkStart w:id="24" w:name="_Toc29531"/>
      <w:r>
        <w:rPr>
          <w:rFonts w:hint="eastAsia" w:ascii="黑体" w:hAnsi="黑体" w:eastAsia="黑体" w:cs="黑体"/>
          <w:color w:val="auto"/>
          <w:sz w:val="32"/>
          <w:szCs w:val="32"/>
        </w:rPr>
        <w:t>第四十三条</w:t>
      </w:r>
      <w:r>
        <w:rPr>
          <w:rFonts w:hint="eastAsia" w:ascii="仿宋_GB2312" w:hAnsi="仿宋_GB2312" w:eastAsia="仿宋_GB2312" w:cs="仿宋_GB2312"/>
          <w:color w:val="auto"/>
          <w:sz w:val="32"/>
          <w:szCs w:val="32"/>
        </w:rPr>
        <w:t xml:space="preserve">  工会实行统一所有、分级监管、单位使用的资产监管体制。各级工会应当依法依规加强对工会资产的监督、管理，保护工会资产不受损害。任何组织和个人不得从事下列损害工会资产的行为：</w:t>
      </w:r>
    </w:p>
    <w:bookmarkEnd w:id="24"/>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dstrike/>
          <w:color w:val="auto"/>
          <w:sz w:val="32"/>
          <w:szCs w:val="32"/>
        </w:rPr>
      </w:pPr>
      <w:r>
        <w:rPr>
          <w:rFonts w:hint="eastAsia" w:ascii="仿宋_GB2312" w:hAnsi="仿宋_GB2312" w:eastAsia="仿宋_GB2312" w:cs="仿宋_GB2312"/>
          <w:color w:val="auto"/>
          <w:sz w:val="32"/>
          <w:szCs w:val="32"/>
        </w:rPr>
        <w:t>（一）侵占、挪用、任意调拨工会</w:t>
      </w:r>
      <w:r>
        <w:rPr>
          <w:rFonts w:hint="eastAsia" w:ascii="仿宋_GB2312" w:hAnsi="黑体" w:eastAsia="仿宋_GB2312" w:cs="黑体"/>
          <w:color w:val="auto"/>
          <w:sz w:val="32"/>
          <w:szCs w:val="32"/>
        </w:rPr>
        <w:t>的财产、经费和国家拨给工会使用的不动产；</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（二）非法注销工会依法设立的银行账户；</w:t>
      </w:r>
    </w:p>
    <w:p>
      <w:pPr>
        <w:widowControl w:val="0"/>
        <w:wordWrap/>
        <w:overflowPunct w:val="0"/>
        <w:spacing w:beforeAutospacing="0" w:afterAutospacing="0" w:line="578" w:lineRule="exact"/>
        <w:ind w:firstLine="640" w:firstLineChars="200"/>
        <w:textAlignment w:val="auto"/>
        <w:outlineLvl w:val="9"/>
        <w:rPr>
          <w:rFonts w:hint="eastAsia" w:ascii="黑体" w:hAnsi="黑体" w:eastAsia="仿宋_GB2312" w:cs="黑体"/>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黑体" w:eastAsia="仿宋_GB2312" w:cs="仿宋_GB2312"/>
          <w:color w:val="auto"/>
          <w:sz w:val="32"/>
          <w:szCs w:val="32"/>
        </w:rPr>
        <w:t>将工会财产、经费出借给</w:t>
      </w:r>
      <w:r>
        <w:rPr>
          <w:rFonts w:hint="eastAsia" w:ascii="仿宋_GB2312" w:hAnsi="黑体" w:eastAsia="仿宋_GB2312" w:cs="黑体"/>
          <w:color w:val="auto"/>
          <w:sz w:val="32"/>
          <w:szCs w:val="32"/>
        </w:rPr>
        <w:t>工会系统以外的单位，或者以工会财产为其担保</w:t>
      </w:r>
      <w:bookmarkStart w:id="25" w:name="_Toc8010"/>
      <w:r>
        <w:rPr>
          <w:rFonts w:hint="eastAsia" w:ascii="仿宋_GB2312" w:hAnsi="黑体" w:eastAsia="仿宋_GB2312" w:cs="黑体"/>
          <w:strike w:val="0"/>
          <w:dstrike w:val="0"/>
          <w:color w:val="auto"/>
          <w:sz w:val="32"/>
          <w:szCs w:val="32"/>
          <w:lang w:eastAsia="zh-CN"/>
        </w:rPr>
        <w:t>；</w:t>
      </w:r>
    </w:p>
    <w:p>
      <w:pPr>
        <w:widowControl w:val="0"/>
        <w:wordWrap/>
        <w:overflowPunct w:val="0"/>
        <w:spacing w:beforeAutospacing="0" w:afterAutospacing="0" w:line="578" w:lineRule="exact"/>
        <w:ind w:firstLine="640" w:firstLineChars="200"/>
        <w:textAlignment w:val="auto"/>
        <w:outlineLvl w:val="9"/>
        <w:rPr>
          <w:rFonts w:hint="default" w:ascii="黑体" w:hAnsi="黑体" w:eastAsia="仿宋_GB2312" w:cs="黑体"/>
          <w:color w:val="auto"/>
          <w:sz w:val="32"/>
          <w:szCs w:val="32"/>
          <w:highlight w:val="none"/>
          <w:lang w:val="en-US" w:eastAsia="zh-CN"/>
        </w:rPr>
      </w:pPr>
      <w:r>
        <w:rPr>
          <w:rFonts w:hint="eastAsia" w:ascii="黑体" w:hAnsi="黑体" w:eastAsia="仿宋_GB2312" w:cs="黑体"/>
          <w:color w:val="auto"/>
          <w:sz w:val="32"/>
          <w:szCs w:val="32"/>
          <w:highlight w:val="none"/>
          <w:lang w:val="en-US" w:eastAsia="zh-CN"/>
        </w:rPr>
        <w:t>（四）法律、行政法规禁止的其他行为。</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第四十四条</w:t>
      </w:r>
      <w:bookmarkEnd w:id="25"/>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工会组织合并、分立、撤销前，其经费、财产应当在上级工会的指导下进行审计。工会组织合并，其经费、财产归合并后的工会所有；工会组织分立，其经费、财产由原工会合理分配；工会组织撤销或者解散，其经费由上级工会处置。</w:t>
      </w:r>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第四十五条  </w:t>
      </w:r>
      <w:r>
        <w:rPr>
          <w:rFonts w:hint="eastAsia" w:ascii="仿宋_GB2312" w:hAnsi="黑体" w:eastAsia="仿宋_GB2312" w:cs="黑体"/>
          <w:color w:val="auto"/>
          <w:sz w:val="32"/>
          <w:szCs w:val="32"/>
        </w:rPr>
        <w:t>因城乡建设确需拆除工人文化宫、工人疗养院等职工活动场所，或者改变其功能、用途的，应当依照有关法律、行政法规的规定重建、改建，并坚持先建设后拆除或者建设拆除同时进行的原则。重建或者改建的职工活动场所、设施配置不得低于原面积、原标准，覆盖更多人群。</w:t>
      </w:r>
    </w:p>
    <w:p>
      <w:pPr>
        <w:widowControl w:val="0"/>
        <w:wordWrap/>
        <w:overflowPunct w:val="0"/>
        <w:adjustRightInd/>
        <w:snapToGrid/>
        <w:spacing w:beforeLines="100" w:beforeAutospacing="0" w:afterLines="100" w:afterAutospacing="0" w:line="578" w:lineRule="exact"/>
        <w:ind w:left="0" w:leftChars="0" w:right="0" w:firstLine="0" w:firstLineChars="0"/>
        <w:jc w:val="center"/>
        <w:textAlignment w:val="auto"/>
        <w:outlineLvl w:val="9"/>
        <w:rPr>
          <w:rFonts w:ascii="黑体" w:hAnsi="黑体" w:eastAsia="黑体" w:cs="黑体"/>
          <w:color w:val="auto"/>
          <w:sz w:val="32"/>
          <w:szCs w:val="32"/>
        </w:rPr>
      </w:pPr>
      <w:bookmarkStart w:id="26" w:name="_Toc32422"/>
      <w:bookmarkStart w:id="27" w:name="_Toc19856"/>
      <w:r>
        <w:rPr>
          <w:rFonts w:hint="eastAsia" w:ascii="黑体" w:hAnsi="黑体" w:eastAsia="黑体" w:cs="黑体"/>
          <w:color w:val="auto"/>
          <w:sz w:val="32"/>
          <w:szCs w:val="32"/>
        </w:rPr>
        <w:t>第五章  法律责任</w:t>
      </w:r>
      <w:bookmarkEnd w:id="26"/>
      <w:bookmarkEnd w:id="27"/>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bookmarkStart w:id="28" w:name="_Toc9949"/>
      <w:r>
        <w:rPr>
          <w:rFonts w:hint="eastAsia" w:ascii="黑体" w:hAnsi="黑体" w:eastAsia="黑体" w:cs="黑体"/>
          <w:color w:val="auto"/>
          <w:sz w:val="32"/>
          <w:szCs w:val="32"/>
        </w:rPr>
        <w:t>第四十六条</w:t>
      </w:r>
      <w:bookmarkEnd w:id="28"/>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工会对违反本条例规定侵犯其合法权益的，</w:t>
      </w:r>
      <w:r>
        <w:rPr>
          <w:rFonts w:hint="eastAsia" w:ascii="黑体" w:hAnsi="黑体" w:eastAsia="仿宋_GB2312" w:cs="黑体"/>
          <w:color w:val="auto"/>
          <w:sz w:val="32"/>
          <w:szCs w:val="32"/>
          <w:lang w:eastAsia="zh-CN"/>
        </w:rPr>
        <w:t>法律、行政法规有规定的，</w:t>
      </w:r>
      <w:r>
        <w:rPr>
          <w:rFonts w:hint="eastAsia" w:ascii="仿宋_GB2312" w:hAnsi="仿宋_GB2312" w:eastAsia="仿宋_GB2312" w:cs="仿宋_GB2312"/>
          <w:color w:val="auto"/>
          <w:sz w:val="32"/>
          <w:szCs w:val="32"/>
        </w:rPr>
        <w:t>有权提请人民政府或者有关部门予以处理，或者向人民法院提起诉讼。</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违反本条例，有下列情形之一的，由县级以上总工会提请人民政府或者有关部门，对直接负责的主管人员和其他直接责任人员依法给予处分：</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（一）妨碍工会组织职工</w:t>
      </w:r>
      <w:r>
        <w:rPr>
          <w:rFonts w:hint="eastAsia" w:ascii="仿宋_GB2312" w:hAnsi="黑体" w:eastAsia="仿宋_GB2312" w:cs="黑体"/>
          <w:color w:val="auto"/>
          <w:sz w:val="32"/>
          <w:szCs w:val="32"/>
        </w:rPr>
        <w:t>通过职工代表大会和其他形式</w:t>
      </w:r>
      <w:r>
        <w:rPr>
          <w:rFonts w:hint="eastAsia" w:ascii="仿宋_GB2312" w:hAnsi="仿宋_GB2312" w:eastAsia="仿宋_GB2312" w:cs="仿宋_GB2312"/>
          <w:color w:val="auto"/>
          <w:sz w:val="32"/>
          <w:szCs w:val="32"/>
        </w:rPr>
        <w:t>依法行使民主权利；</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（二）拒不采纳工会依法提出的改进劳动保护条件建议；</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（三）妨碍工会参加职工因工伤亡事故、职业危害及侵犯职工合法权益问题调查处理；</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（四）不按照规定建立工会组织或者非法撤销、合并工会组织；</w:t>
      </w:r>
    </w:p>
    <w:p>
      <w:pPr>
        <w:widowControl w:val="0"/>
        <w:wordWrap/>
        <w:overflowPunct w:val="0"/>
        <w:spacing w:beforeAutospacing="0" w:afterAutospacing="0" w:line="578"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）法律、法规规定的其他侵犯工会和工会</w:t>
      </w:r>
      <w:r>
        <w:rPr>
          <w:rFonts w:hint="eastAsia" w:ascii="仿宋_GB2312" w:hAnsi="仿宋_GB2312" w:eastAsia="仿宋_GB2312" w:cs="仿宋_GB2312"/>
          <w:color w:val="auto"/>
          <w:sz w:val="32"/>
          <w:szCs w:val="32"/>
          <w:highlight w:val="none"/>
          <w:lang w:val="en-US" w:eastAsia="zh-CN"/>
        </w:rPr>
        <w:t>工作人员</w:t>
      </w:r>
      <w:r>
        <w:rPr>
          <w:rFonts w:hint="eastAsia" w:ascii="仿宋_GB2312" w:hAnsi="仿宋_GB2312" w:eastAsia="仿宋_GB2312" w:cs="仿宋_GB2312"/>
          <w:color w:val="auto"/>
          <w:sz w:val="32"/>
          <w:szCs w:val="32"/>
        </w:rPr>
        <w:t>合法权益的情形。</w:t>
      </w:r>
    </w:p>
    <w:p>
      <w:pPr>
        <w:widowControl w:val="0"/>
        <w:wordWrap/>
        <w:overflowPunct w:val="0"/>
        <w:spacing w:beforeAutospacing="0" w:afterAutospacing="0" w:line="578" w:lineRule="exact"/>
        <w:ind w:firstLine="640" w:firstLineChars="200"/>
        <w:textAlignment w:val="auto"/>
        <w:outlineLvl w:val="9"/>
        <w:rPr>
          <w:rFonts w:ascii="仿宋_GB2312" w:hAnsi="仿宋_GB2312" w:eastAsia="仿宋_GB2312" w:cs="仿宋_GB2312"/>
          <w:color w:val="auto"/>
          <w:sz w:val="32"/>
          <w:szCs w:val="32"/>
        </w:rPr>
      </w:pPr>
      <w:bookmarkStart w:id="29" w:name="_Toc9741"/>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 xml:space="preserve">条  </w:t>
      </w:r>
      <w:bookmarkEnd w:id="29"/>
      <w:r>
        <w:rPr>
          <w:rFonts w:hint="eastAsia" w:ascii="仿宋_GB2312" w:hAnsi="仿宋_GB2312" w:eastAsia="仿宋_GB2312" w:cs="仿宋_GB2312"/>
          <w:color w:val="auto"/>
          <w:sz w:val="32"/>
          <w:szCs w:val="32"/>
        </w:rPr>
        <w:t>违反本条例规定的其他行为，法律、行政法规</w:t>
      </w:r>
      <w:r>
        <w:rPr>
          <w:rFonts w:hint="eastAsia" w:ascii="仿宋_GB2312" w:hAnsi="仿宋_GB2312" w:eastAsia="仿宋_GB2312" w:cs="仿宋_GB2312"/>
          <w:color w:val="auto"/>
          <w:sz w:val="32"/>
          <w:szCs w:val="32"/>
          <w:highlight w:val="none"/>
        </w:rPr>
        <w:t>有</w:t>
      </w:r>
      <w:r>
        <w:rPr>
          <w:rFonts w:hint="eastAsia" w:ascii="仿宋_GB2312" w:hAnsi="仿宋_GB2312" w:eastAsia="仿宋_GB2312" w:cs="仿宋_GB2312"/>
          <w:color w:val="auto"/>
          <w:sz w:val="32"/>
          <w:szCs w:val="32"/>
          <w:highlight w:val="none"/>
          <w:lang w:val="en-US" w:eastAsia="zh-CN"/>
        </w:rPr>
        <w:t>处罚</w:t>
      </w:r>
      <w:r>
        <w:rPr>
          <w:rFonts w:hint="eastAsia" w:ascii="仿宋_GB2312" w:hAnsi="仿宋_GB2312" w:eastAsia="仿宋_GB2312" w:cs="仿宋_GB2312"/>
          <w:color w:val="auto"/>
          <w:sz w:val="32"/>
          <w:szCs w:val="32"/>
          <w:highlight w:val="none"/>
        </w:rPr>
        <w:t>规</w:t>
      </w:r>
      <w:r>
        <w:rPr>
          <w:rFonts w:hint="eastAsia" w:ascii="仿宋_GB2312" w:hAnsi="仿宋_GB2312" w:eastAsia="仿宋_GB2312" w:cs="仿宋_GB2312"/>
          <w:color w:val="auto"/>
          <w:sz w:val="32"/>
          <w:szCs w:val="32"/>
        </w:rPr>
        <w:t>定的，从其规定。</w:t>
      </w:r>
    </w:p>
    <w:p>
      <w:pPr>
        <w:widowControl w:val="0"/>
        <w:wordWrap/>
        <w:overflowPunct w:val="0"/>
        <w:adjustRightInd/>
        <w:snapToGrid/>
        <w:spacing w:beforeLines="100" w:beforeAutospacing="0" w:afterLines="100" w:afterAutospacing="0" w:line="578" w:lineRule="exact"/>
        <w:ind w:left="0" w:leftChars="0" w:right="0" w:firstLine="640" w:firstLineChars="200"/>
        <w:jc w:val="center"/>
        <w:textAlignment w:val="auto"/>
        <w:outlineLvl w:val="9"/>
        <w:rPr>
          <w:rFonts w:ascii="华文中宋" w:hAnsi="华文中宋" w:eastAsia="华文中宋" w:cs="华文中宋"/>
          <w:b/>
          <w:bCs/>
          <w:color w:val="auto"/>
          <w:sz w:val="32"/>
          <w:szCs w:val="32"/>
        </w:rPr>
      </w:pPr>
      <w:bookmarkStart w:id="30" w:name="_Toc31201"/>
      <w:bookmarkStart w:id="31" w:name="_Toc5243"/>
      <w:r>
        <w:rPr>
          <w:rFonts w:hint="eastAsia" w:ascii="黑体" w:hAnsi="黑体" w:eastAsia="黑体" w:cs="黑体"/>
          <w:color w:val="auto"/>
          <w:sz w:val="32"/>
          <w:szCs w:val="32"/>
        </w:rPr>
        <w:t>第六章  附  则</w:t>
      </w:r>
      <w:bookmarkEnd w:id="30"/>
      <w:bookmarkEnd w:id="31"/>
    </w:p>
    <w:p>
      <w:pPr>
        <w:widowControl w:val="0"/>
        <w:wordWrap/>
        <w:overflowPunct w:val="0"/>
        <w:spacing w:beforeAutospacing="0" w:afterAutospacing="0" w:line="578" w:lineRule="exact"/>
        <w:ind w:firstLine="640" w:firstLineChars="200"/>
        <w:textAlignment w:val="auto"/>
        <w:outlineLvl w:val="9"/>
        <w:rPr>
          <w:rFonts w:hint="eastAsia" w:ascii="仿宋_GB2312" w:hAnsi="仿宋_GB2312" w:eastAsia="仿宋_GB2312" w:cs="仿宋_GB2312"/>
          <w:color w:val="auto"/>
          <w:sz w:val="32"/>
          <w:szCs w:val="32"/>
          <w:highlight w:val="yellow"/>
          <w:lang w:val="en-US" w:eastAsia="zh-CN"/>
        </w:rPr>
      </w:pPr>
      <w:bookmarkStart w:id="32" w:name="_Toc28813"/>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bookmarkEnd w:id="32"/>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本条例自    年  月  日起施行。</w:t>
      </w:r>
    </w:p>
    <w:sectPr>
      <w:footerReference r:id="rId3" w:type="default"/>
      <w:pgSz w:w="11906" w:h="16838"/>
      <w:pgMar w:top="2098" w:right="1531" w:bottom="1984" w:left="1531" w:header="851" w:footer="1587" w:gutter="0"/>
      <w:pgNumType w:fmt="decimal"/>
      <w:cols w:space="72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仿宋_GB2312"/>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widowControl w:val="0"/>
                            <w:wordWrap/>
                            <w:adjustRightInd/>
                            <w:snapToGrid w:val="0"/>
                            <w:spacing w:line="240" w:lineRule="auto"/>
                            <w:ind w:left="420" w:leftChars="200" w:right="420" w:rightChars="200" w:firstLine="0" w:firstLineChars="0"/>
                            <w:jc w:val="left"/>
                            <w:textAlignment w:val="auto"/>
                            <w:outlineLvl w:val="9"/>
                            <w:rPr>
                              <w:rFonts w:hint="eastAsia" w:ascii="宋体" w:hAnsi="宋体" w:eastAsia="仿宋_GB2312" w:cs="宋体"/>
                              <w:sz w:val="28"/>
                              <w:szCs w:val="28"/>
                            </w:rPr>
                          </w:pPr>
                          <w:r>
                            <w:rPr>
                              <w:rFonts w:hint="eastAsia" w:ascii="宋体" w:hAnsi="宋体" w:eastAsia="仿宋_GB2312" w:cs="宋体"/>
                              <w:sz w:val="28"/>
                              <w:szCs w:val="28"/>
                            </w:rPr>
                            <w:t xml:space="preserve">— </w:t>
                          </w: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t>1</w:t>
                          </w:r>
                          <w:r>
                            <w:rPr>
                              <w:rFonts w:hint="eastAsia" w:ascii="宋体" w:hAnsi="宋体" w:eastAsia="仿宋_GB2312" w:cs="宋体"/>
                              <w:sz w:val="28"/>
                              <w:szCs w:val="28"/>
                            </w:rPr>
                            <w:fldChar w:fldCharType="end"/>
                          </w:r>
                          <w:r>
                            <w:rPr>
                              <w:rFonts w:hint="eastAsia" w:ascii="宋体" w:hAnsi="宋体" w:eastAsia="仿宋_GB2312" w:cs="宋体"/>
                              <w:sz w:val="28"/>
                              <w:szCs w:val="28"/>
                            </w:rPr>
                            <w:t xml:space="preserve"> —</w:t>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PK3g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yTzb04dY&#10;46un8AhjFjHMWgcFNn9RBRmKpYezpXJIRGBxvlwslxU6L/BuShCHvfweIKZb6S3JQUMBZ1as5Pv7&#10;mE5Ppye5m/M32his89q4NwXEzBWWGZ845igNm2EkvvHtAdX2OO6GOtxHSsydQzfzZkwBTMFmCnYB&#10;9LZDagl2eRwc0a92CXkUernJCXnsjaMqAse1yrvwOi+vXp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5zyt4KoBAABEAwAADgAAAAAAAAABACAAAAA1AQAAZHJzL2Uyb0RvYy54bWxQSwUG&#10;AAAAAAYABgBZAQAAUQUAAAAA&#10;">
              <v:fill on="f" focussize="0,0"/>
              <v:stroke on="f"/>
              <v:imagedata o:title=""/>
              <o:lock v:ext="edit" aspectratio="f"/>
              <v:textbox inset="0mm,0mm,0mm,0mm" style="mso-fit-shape-to-text:t;">
                <w:txbxContent>
                  <w:p>
                    <w:pPr>
                      <w:pStyle w:val="4"/>
                      <w:widowControl w:val="0"/>
                      <w:wordWrap/>
                      <w:adjustRightInd/>
                      <w:snapToGrid w:val="0"/>
                      <w:spacing w:line="240" w:lineRule="auto"/>
                      <w:ind w:left="420" w:leftChars="200" w:right="420" w:rightChars="200" w:firstLine="0" w:firstLineChars="0"/>
                      <w:jc w:val="left"/>
                      <w:textAlignment w:val="auto"/>
                      <w:outlineLvl w:val="9"/>
                      <w:rPr>
                        <w:rFonts w:hint="eastAsia" w:ascii="宋体" w:hAnsi="宋体" w:eastAsia="仿宋_GB2312" w:cs="宋体"/>
                        <w:sz w:val="28"/>
                        <w:szCs w:val="28"/>
                      </w:rPr>
                    </w:pPr>
                    <w:r>
                      <w:rPr>
                        <w:rFonts w:hint="eastAsia" w:ascii="宋体" w:hAnsi="宋体" w:eastAsia="仿宋_GB2312" w:cs="宋体"/>
                        <w:sz w:val="28"/>
                        <w:szCs w:val="28"/>
                      </w:rPr>
                      <w:t xml:space="preserve">— </w:t>
                    </w: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t>1</w:t>
                    </w:r>
                    <w:r>
                      <w:rPr>
                        <w:rFonts w:hint="eastAsia" w:ascii="宋体" w:hAnsi="宋体" w:eastAsia="仿宋_GB2312" w:cs="宋体"/>
                        <w:sz w:val="28"/>
                        <w:szCs w:val="28"/>
                      </w:rPr>
                      <w:fldChar w:fldCharType="end"/>
                    </w:r>
                    <w:r>
                      <w:rPr>
                        <w:rFonts w:hint="eastAsia" w:ascii="宋体" w:hAnsi="宋体" w:eastAsia="仿宋_GB2312"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0"/>
  <w:drawingGridVerticalSpacing w:val="144"/>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32D"/>
    <w:rsid w:val="00CA613C"/>
    <w:rsid w:val="00DF3269"/>
    <w:rsid w:val="015B3238"/>
    <w:rsid w:val="01C761D7"/>
    <w:rsid w:val="03394EB3"/>
    <w:rsid w:val="03754EC6"/>
    <w:rsid w:val="03E312C3"/>
    <w:rsid w:val="03EC0177"/>
    <w:rsid w:val="04ED23F9"/>
    <w:rsid w:val="05654685"/>
    <w:rsid w:val="06303574"/>
    <w:rsid w:val="06D03D80"/>
    <w:rsid w:val="07373DFF"/>
    <w:rsid w:val="07E21FBD"/>
    <w:rsid w:val="081F2850"/>
    <w:rsid w:val="08444A26"/>
    <w:rsid w:val="088968DD"/>
    <w:rsid w:val="08FA3336"/>
    <w:rsid w:val="0AF538AE"/>
    <w:rsid w:val="0B386F05"/>
    <w:rsid w:val="0B941820"/>
    <w:rsid w:val="0CA041F5"/>
    <w:rsid w:val="0CAC4948"/>
    <w:rsid w:val="0D841421"/>
    <w:rsid w:val="0DA43871"/>
    <w:rsid w:val="0DE819AF"/>
    <w:rsid w:val="0F711E78"/>
    <w:rsid w:val="0FB029A1"/>
    <w:rsid w:val="10234F21"/>
    <w:rsid w:val="105E41AB"/>
    <w:rsid w:val="107E2A9F"/>
    <w:rsid w:val="10C1174A"/>
    <w:rsid w:val="10EA4CFC"/>
    <w:rsid w:val="119D51A7"/>
    <w:rsid w:val="1283439D"/>
    <w:rsid w:val="12B502CE"/>
    <w:rsid w:val="12B858ED"/>
    <w:rsid w:val="12F62DC0"/>
    <w:rsid w:val="13655850"/>
    <w:rsid w:val="136A10B9"/>
    <w:rsid w:val="13A46379"/>
    <w:rsid w:val="13E26EA1"/>
    <w:rsid w:val="14EA425F"/>
    <w:rsid w:val="157B135B"/>
    <w:rsid w:val="15826150"/>
    <w:rsid w:val="162E2871"/>
    <w:rsid w:val="17045380"/>
    <w:rsid w:val="174D31CB"/>
    <w:rsid w:val="17BB1EE3"/>
    <w:rsid w:val="1840564B"/>
    <w:rsid w:val="1A312930"/>
    <w:rsid w:val="1C314E69"/>
    <w:rsid w:val="1D1A76AB"/>
    <w:rsid w:val="1D2D6ED8"/>
    <w:rsid w:val="1DAD0520"/>
    <w:rsid w:val="1E2C7696"/>
    <w:rsid w:val="1F3C7DAD"/>
    <w:rsid w:val="1FC14756"/>
    <w:rsid w:val="1FCD30FB"/>
    <w:rsid w:val="22405E06"/>
    <w:rsid w:val="22C00CF5"/>
    <w:rsid w:val="24155071"/>
    <w:rsid w:val="24E16D01"/>
    <w:rsid w:val="250E3F9A"/>
    <w:rsid w:val="251E6D14"/>
    <w:rsid w:val="2536529E"/>
    <w:rsid w:val="256B319A"/>
    <w:rsid w:val="25C32FD6"/>
    <w:rsid w:val="25FC3DF2"/>
    <w:rsid w:val="26371021"/>
    <w:rsid w:val="265E4AAD"/>
    <w:rsid w:val="26A82D39"/>
    <w:rsid w:val="26A85D28"/>
    <w:rsid w:val="282647CB"/>
    <w:rsid w:val="289E5635"/>
    <w:rsid w:val="2936287E"/>
    <w:rsid w:val="29732116"/>
    <w:rsid w:val="29916F47"/>
    <w:rsid w:val="29BA649E"/>
    <w:rsid w:val="29C70BBB"/>
    <w:rsid w:val="2AB70C30"/>
    <w:rsid w:val="2AC33130"/>
    <w:rsid w:val="2B1C4F36"/>
    <w:rsid w:val="2B770BB7"/>
    <w:rsid w:val="2B8F5708"/>
    <w:rsid w:val="2C245E51"/>
    <w:rsid w:val="2C2B5431"/>
    <w:rsid w:val="2C7A1F15"/>
    <w:rsid w:val="2CE83322"/>
    <w:rsid w:val="2CFE66E8"/>
    <w:rsid w:val="2D850B71"/>
    <w:rsid w:val="2E666BF4"/>
    <w:rsid w:val="2ED55B28"/>
    <w:rsid w:val="2EE6563F"/>
    <w:rsid w:val="2EF21D2F"/>
    <w:rsid w:val="2FD8767E"/>
    <w:rsid w:val="2FDB2CCA"/>
    <w:rsid w:val="2FFC5CE0"/>
    <w:rsid w:val="30280E39"/>
    <w:rsid w:val="30843362"/>
    <w:rsid w:val="309B06AC"/>
    <w:rsid w:val="30DA7426"/>
    <w:rsid w:val="31260578"/>
    <w:rsid w:val="31A55C86"/>
    <w:rsid w:val="31E22A36"/>
    <w:rsid w:val="32825CC9"/>
    <w:rsid w:val="32D85BE7"/>
    <w:rsid w:val="339A2E9C"/>
    <w:rsid w:val="33AB6E58"/>
    <w:rsid w:val="33DD67A9"/>
    <w:rsid w:val="33DE722D"/>
    <w:rsid w:val="33F94067"/>
    <w:rsid w:val="34120C85"/>
    <w:rsid w:val="345968B4"/>
    <w:rsid w:val="34763909"/>
    <w:rsid w:val="353D61D5"/>
    <w:rsid w:val="35584DBD"/>
    <w:rsid w:val="37EF9A69"/>
    <w:rsid w:val="389B749B"/>
    <w:rsid w:val="38AB1F5C"/>
    <w:rsid w:val="391060DB"/>
    <w:rsid w:val="3995462E"/>
    <w:rsid w:val="39D013C6"/>
    <w:rsid w:val="39FF558A"/>
    <w:rsid w:val="3B1B2B15"/>
    <w:rsid w:val="3B457B92"/>
    <w:rsid w:val="3B9F54F4"/>
    <w:rsid w:val="3D962926"/>
    <w:rsid w:val="3EFF5AAE"/>
    <w:rsid w:val="3F211482"/>
    <w:rsid w:val="3F88629F"/>
    <w:rsid w:val="3FE62CF0"/>
    <w:rsid w:val="401A783F"/>
    <w:rsid w:val="414A4154"/>
    <w:rsid w:val="4265440A"/>
    <w:rsid w:val="428611BC"/>
    <w:rsid w:val="42A31D6D"/>
    <w:rsid w:val="44C935E1"/>
    <w:rsid w:val="44CE0BF8"/>
    <w:rsid w:val="44D51F86"/>
    <w:rsid w:val="44F52628"/>
    <w:rsid w:val="45132AAF"/>
    <w:rsid w:val="45F11B37"/>
    <w:rsid w:val="464A0752"/>
    <w:rsid w:val="46EE028F"/>
    <w:rsid w:val="471717CC"/>
    <w:rsid w:val="478C7274"/>
    <w:rsid w:val="485D69F7"/>
    <w:rsid w:val="49CA5E32"/>
    <w:rsid w:val="4A8C30E7"/>
    <w:rsid w:val="4AC05487"/>
    <w:rsid w:val="4C1E4213"/>
    <w:rsid w:val="4C653BF0"/>
    <w:rsid w:val="4C9D5A7F"/>
    <w:rsid w:val="4CFB6302"/>
    <w:rsid w:val="4D292E6F"/>
    <w:rsid w:val="4D553C64"/>
    <w:rsid w:val="4D6B3488"/>
    <w:rsid w:val="4D844043"/>
    <w:rsid w:val="4E1E674C"/>
    <w:rsid w:val="4E3B72FE"/>
    <w:rsid w:val="4E8F764A"/>
    <w:rsid w:val="4F3E697A"/>
    <w:rsid w:val="4F6A3E7A"/>
    <w:rsid w:val="50A10ECD"/>
    <w:rsid w:val="511B6F73"/>
    <w:rsid w:val="51CE0489"/>
    <w:rsid w:val="520B6AE0"/>
    <w:rsid w:val="532D6376"/>
    <w:rsid w:val="54EE971E"/>
    <w:rsid w:val="556A04C9"/>
    <w:rsid w:val="57016C0B"/>
    <w:rsid w:val="57497E9A"/>
    <w:rsid w:val="57C2283E"/>
    <w:rsid w:val="57F347A6"/>
    <w:rsid w:val="589A7317"/>
    <w:rsid w:val="5A1A6753"/>
    <w:rsid w:val="5A8E4C59"/>
    <w:rsid w:val="5AA1673B"/>
    <w:rsid w:val="5AA955EF"/>
    <w:rsid w:val="5B2335F4"/>
    <w:rsid w:val="5B6A1223"/>
    <w:rsid w:val="5BFF1386"/>
    <w:rsid w:val="5C262A68"/>
    <w:rsid w:val="5C702967"/>
    <w:rsid w:val="5D995DEF"/>
    <w:rsid w:val="5E056192"/>
    <w:rsid w:val="5F1576F7"/>
    <w:rsid w:val="5F6D7533"/>
    <w:rsid w:val="5F73151B"/>
    <w:rsid w:val="5F926F9A"/>
    <w:rsid w:val="5FB3FCA6"/>
    <w:rsid w:val="5FB63307"/>
    <w:rsid w:val="5FE33352"/>
    <w:rsid w:val="61271964"/>
    <w:rsid w:val="61534507"/>
    <w:rsid w:val="615C160D"/>
    <w:rsid w:val="61D07906"/>
    <w:rsid w:val="627E3805"/>
    <w:rsid w:val="63D27965"/>
    <w:rsid w:val="6477675E"/>
    <w:rsid w:val="652E1513"/>
    <w:rsid w:val="65AE168C"/>
    <w:rsid w:val="66AB0941"/>
    <w:rsid w:val="66AF3F8D"/>
    <w:rsid w:val="671F74F9"/>
    <w:rsid w:val="679A69EC"/>
    <w:rsid w:val="67F500C6"/>
    <w:rsid w:val="680622D3"/>
    <w:rsid w:val="682A2C53"/>
    <w:rsid w:val="68464DC5"/>
    <w:rsid w:val="69E05425"/>
    <w:rsid w:val="6A2829D5"/>
    <w:rsid w:val="6A681023"/>
    <w:rsid w:val="6A773014"/>
    <w:rsid w:val="6AB853DB"/>
    <w:rsid w:val="6B2D5DC9"/>
    <w:rsid w:val="6B8D6867"/>
    <w:rsid w:val="6BD61FBC"/>
    <w:rsid w:val="6C1C0317"/>
    <w:rsid w:val="6CB06CB1"/>
    <w:rsid w:val="6CF070AE"/>
    <w:rsid w:val="6D033285"/>
    <w:rsid w:val="6DEA7FA1"/>
    <w:rsid w:val="6DFEE13C"/>
    <w:rsid w:val="6ED0363B"/>
    <w:rsid w:val="6EE77E3B"/>
    <w:rsid w:val="6FA67EF8"/>
    <w:rsid w:val="702E0619"/>
    <w:rsid w:val="70B2124A"/>
    <w:rsid w:val="72F9AA44"/>
    <w:rsid w:val="730C2768"/>
    <w:rsid w:val="74404DBF"/>
    <w:rsid w:val="74620891"/>
    <w:rsid w:val="75B551D4"/>
    <w:rsid w:val="75B94E29"/>
    <w:rsid w:val="76994F1B"/>
    <w:rsid w:val="77642B95"/>
    <w:rsid w:val="77BFBDA3"/>
    <w:rsid w:val="77D47CF8"/>
    <w:rsid w:val="77E26471"/>
    <w:rsid w:val="77ED77DC"/>
    <w:rsid w:val="781F6A99"/>
    <w:rsid w:val="78656BA2"/>
    <w:rsid w:val="78C23FF4"/>
    <w:rsid w:val="792A1B99"/>
    <w:rsid w:val="79EC0B0A"/>
    <w:rsid w:val="7A140880"/>
    <w:rsid w:val="7A37456E"/>
    <w:rsid w:val="7A546ECE"/>
    <w:rsid w:val="7ACF47A6"/>
    <w:rsid w:val="7ADDD5AA"/>
    <w:rsid w:val="7B2F16E9"/>
    <w:rsid w:val="7C02295A"/>
    <w:rsid w:val="7C6B04FF"/>
    <w:rsid w:val="7CC320E9"/>
    <w:rsid w:val="7CDB7433"/>
    <w:rsid w:val="7D124E1E"/>
    <w:rsid w:val="7D6531A0"/>
    <w:rsid w:val="7DA75468"/>
    <w:rsid w:val="7DA77C5D"/>
    <w:rsid w:val="7DB5DDD2"/>
    <w:rsid w:val="7DC73E5B"/>
    <w:rsid w:val="7DFF25D9"/>
    <w:rsid w:val="7E004525"/>
    <w:rsid w:val="7E1DC1B6"/>
    <w:rsid w:val="7E437985"/>
    <w:rsid w:val="7EAF501B"/>
    <w:rsid w:val="7ED571E6"/>
    <w:rsid w:val="7EE9B31C"/>
    <w:rsid w:val="7EFDD165"/>
    <w:rsid w:val="7F35AED0"/>
    <w:rsid w:val="7F5D4A77"/>
    <w:rsid w:val="7F6556D9"/>
    <w:rsid w:val="7F6623B1"/>
    <w:rsid w:val="7FCE1520"/>
    <w:rsid w:val="7FD1481E"/>
    <w:rsid w:val="7FE71659"/>
    <w:rsid w:val="7FFA0518"/>
    <w:rsid w:val="7FFBD43A"/>
    <w:rsid w:val="7FFF8154"/>
    <w:rsid w:val="AFFE19B2"/>
    <w:rsid w:val="B3BA7C77"/>
    <w:rsid w:val="B7FB1506"/>
    <w:rsid w:val="B8384F18"/>
    <w:rsid w:val="BBBEACB1"/>
    <w:rsid w:val="BF6396D7"/>
    <w:rsid w:val="BFFB8364"/>
    <w:rsid w:val="BFFF69A0"/>
    <w:rsid w:val="BFFFE84D"/>
    <w:rsid w:val="D49DD6BC"/>
    <w:rsid w:val="D7BF0CCC"/>
    <w:rsid w:val="D7EF0E07"/>
    <w:rsid w:val="D8FB837E"/>
    <w:rsid w:val="E4FF4296"/>
    <w:rsid w:val="E5787A43"/>
    <w:rsid w:val="EDFE6613"/>
    <w:rsid w:val="EEB2A8A4"/>
    <w:rsid w:val="EEFFD402"/>
    <w:rsid w:val="F3771AFB"/>
    <w:rsid w:val="F6BE3DD8"/>
    <w:rsid w:val="F7F840D3"/>
    <w:rsid w:val="F9E1C027"/>
    <w:rsid w:val="FB351BFD"/>
    <w:rsid w:val="FEBFD727"/>
    <w:rsid w:val="FFBEFB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next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3"/>
    <w:qFormat/>
    <w:uiPriority w:val="0"/>
    <w:pPr>
      <w:widowControl/>
      <w:spacing w:before="100" w:beforeAutospacing="1" w:after="100" w:afterAutospacing="1"/>
      <w:jc w:val="left"/>
    </w:pPr>
    <w:rPr>
      <w:rFonts w:ascii="宋体" w:eastAsia="宋体" w:cs="Times New Roman"/>
      <w:kern w:val="0"/>
      <w:sz w:val="20"/>
      <w:szCs w:val="20"/>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BodyText"/>
    <w:basedOn w:val="1"/>
    <w:qFormat/>
    <w:uiPriority w:val="0"/>
    <w:pPr>
      <w:spacing w:after="120"/>
    </w:pPr>
    <w:rPr>
      <w:rFonts w:ascii="Calibri" w:hAnsi="Calibri" w:eastAsia="宋体" w:cs="黑体"/>
      <w:szCs w:val="21"/>
    </w:rPr>
  </w:style>
  <w:style w:type="paragraph" w:customStyle="1" w:styleId="12">
    <w:name w:val="正文-公1"/>
    <w:basedOn w:val="13"/>
    <w:next w:val="6"/>
    <w:qFormat/>
    <w:uiPriority w:val="0"/>
    <w:pPr>
      <w:ind w:firstLine="200" w:firstLineChars="200"/>
    </w:pPr>
    <w:rPr>
      <w:color w:val="000000"/>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6116</Words>
  <Characters>6116</Characters>
  <Lines>0</Lines>
  <Paragraphs>0</Paragraphs>
  <TotalTime>4</TotalTime>
  <ScaleCrop>false</ScaleCrop>
  <LinksUpToDate>false</LinksUpToDate>
  <CharactersWithSpaces>6222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2025-06-28T22:13:00Z</dcterms:created>
  <dc:creator>Administrator</dc:creator>
  <cp:lastModifiedBy>ysgz</cp:lastModifiedBy>
  <cp:lastPrinted>2025-09-28T15:51:00Z</cp:lastPrinted>
  <dcterms:modified xsi:type="dcterms:W3CDTF">2025-10-21T15:35:04Z</dcterms:modified>
  <dc:title>省十四届人大常委会第六十一次主任会议文件（十七）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eyJoZGlkIjoiMzEwNTM5NzYwMDRjMzkwZTVkZjY2ODkwMGIxNGU0OTUiLCJ1c2VySWQiOiIxMDQxNDEyNSJ9</vt:lpwstr>
  </property>
  <property fmtid="{D5CDD505-2E9C-101B-9397-08002B2CF9AE}" pid="4" name="ICV">
    <vt:lpwstr>6D806C013EDA4065A9A98C2E32F7B7F8_13</vt:lpwstr>
  </property>
</Properties>
</file>